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4F" w:rsidRDefault="000D2D68" w:rsidP="00513D5F">
      <w:pPr>
        <w:pStyle w:val="NoSpacing"/>
        <w:jc w:val="both"/>
        <w:rPr>
          <w:rFonts w:ascii="Arial" w:hAnsi="Arial" w:cs="Arial"/>
          <w:b/>
          <w:sz w:val="24"/>
          <w:szCs w:val="24"/>
          <w:u w:val="single"/>
        </w:rPr>
      </w:pPr>
    </w:p>
    <w:p w:rsidR="000D2D68" w:rsidRDefault="000D2D68" w:rsidP="00513D5F">
      <w:pPr>
        <w:pStyle w:val="NoSpacing"/>
        <w:jc w:val="both"/>
        <w:rPr>
          <w:rFonts w:ascii="Arial" w:hAnsi="Arial" w:cs="Arial"/>
          <w:b/>
          <w:sz w:val="24"/>
          <w:szCs w:val="24"/>
          <w:u w:val="single"/>
        </w:rPr>
      </w:pPr>
      <w:r>
        <w:rPr>
          <w:rFonts w:ascii="Arial" w:hAnsi="Arial" w:cs="Arial"/>
          <w:b/>
          <w:sz w:val="24"/>
          <w:szCs w:val="24"/>
          <w:u w:val="single"/>
        </w:rPr>
        <w:t>Appendix 'A'</w:t>
      </w:r>
      <w:bookmarkStart w:id="0" w:name="_GoBack"/>
      <w:bookmarkEnd w:id="0"/>
    </w:p>
    <w:p w:rsidR="00AB3B95" w:rsidRPr="0072404F" w:rsidRDefault="000D2D68" w:rsidP="00513D5F">
      <w:pPr>
        <w:pStyle w:val="NoSpacing"/>
        <w:jc w:val="both"/>
        <w:rPr>
          <w:rFonts w:ascii="Arial" w:hAnsi="Arial" w:cs="Arial"/>
          <w:b/>
          <w:sz w:val="24"/>
          <w:szCs w:val="24"/>
          <w:u w:val="single"/>
        </w:rPr>
      </w:pPr>
      <w:r w:rsidRPr="0072404F">
        <w:rPr>
          <w:rFonts w:ascii="Arial" w:hAnsi="Arial" w:cs="Arial"/>
          <w:b/>
          <w:sz w:val="24"/>
          <w:szCs w:val="24"/>
          <w:u w:val="single"/>
        </w:rPr>
        <w:t>Boost – Lancashire Business Growth Hub – Lead Andrew Leeming</w:t>
      </w:r>
    </w:p>
    <w:p w:rsidR="00513D5F" w:rsidRPr="00FA2E7C" w:rsidRDefault="000D2D68" w:rsidP="00513D5F">
      <w:pPr>
        <w:pStyle w:val="NoSpacing"/>
        <w:jc w:val="both"/>
        <w:rPr>
          <w:rFonts w:ascii="Arial" w:hAnsi="Arial" w:cs="Arial"/>
        </w:rPr>
      </w:pPr>
    </w:p>
    <w:p w:rsidR="00FE4F07" w:rsidRPr="0072404F" w:rsidRDefault="000D2D68" w:rsidP="00513D5F">
      <w:pPr>
        <w:pStyle w:val="NoSpacing"/>
        <w:jc w:val="both"/>
        <w:rPr>
          <w:rFonts w:ascii="Arial" w:hAnsi="Arial" w:cs="Arial"/>
          <w:b/>
          <w:u w:val="single"/>
        </w:rPr>
      </w:pPr>
      <w:r w:rsidRPr="0072404F">
        <w:rPr>
          <w:rFonts w:ascii="Arial" w:hAnsi="Arial" w:cs="Arial"/>
          <w:b/>
          <w:u w:val="single"/>
        </w:rPr>
        <w:t>B</w:t>
      </w:r>
      <w:r>
        <w:rPr>
          <w:rFonts w:ascii="Arial" w:hAnsi="Arial" w:cs="Arial"/>
          <w:b/>
          <w:u w:val="single"/>
        </w:rPr>
        <w:t>ACKGROUND</w:t>
      </w:r>
    </w:p>
    <w:p w:rsidR="00513D5F" w:rsidRPr="00FA2E7C" w:rsidRDefault="000D2D68" w:rsidP="00513D5F">
      <w:pPr>
        <w:pStyle w:val="NoSpacing"/>
        <w:jc w:val="both"/>
        <w:rPr>
          <w:rFonts w:ascii="Arial" w:hAnsi="Arial" w:cs="Arial"/>
        </w:rPr>
      </w:pPr>
    </w:p>
    <w:p w:rsidR="00A769CA" w:rsidRPr="00FA2E7C" w:rsidRDefault="000D2D68" w:rsidP="007851C8">
      <w:pPr>
        <w:pStyle w:val="NoSpacing"/>
        <w:jc w:val="both"/>
        <w:rPr>
          <w:rFonts w:ascii="Arial" w:eastAsia="Calibri" w:hAnsi="Arial" w:cs="Arial"/>
          <w:bCs/>
          <w:lang w:eastAsia="en-GB"/>
        </w:rPr>
      </w:pPr>
      <w:r w:rsidRPr="00FA2E7C">
        <w:rPr>
          <w:rFonts w:ascii="Arial" w:eastAsia="Calibri" w:hAnsi="Arial" w:cs="Arial"/>
          <w:bCs/>
          <w:lang w:eastAsia="en-GB"/>
        </w:rPr>
        <w:t>Boost is Lancashire's Business Growth Hub established in 2013. By 2018 (the end of the second European funding project) the project had engaged with over 5,800 businesses, created 2,200 new jobs and generated over £60m GVA for the Lancashire economy. Boost</w:t>
      </w:r>
      <w:r w:rsidRPr="00FA2E7C">
        <w:rPr>
          <w:rFonts w:ascii="Arial" w:eastAsia="Calibri" w:hAnsi="Arial" w:cs="Arial"/>
          <w:bCs/>
          <w:lang w:eastAsia="en-GB"/>
        </w:rPr>
        <w:t xml:space="preserve"> 1 European Regional Development Fund (ERDF) project ran from 2013-15 and Boost 2 ERDF project from 2016-18. </w:t>
      </w:r>
    </w:p>
    <w:p w:rsidR="00A769CA" w:rsidRPr="00FA2E7C" w:rsidRDefault="000D2D68" w:rsidP="007851C8">
      <w:pPr>
        <w:pStyle w:val="NoSpacing"/>
        <w:jc w:val="both"/>
        <w:rPr>
          <w:rFonts w:ascii="Arial" w:eastAsia="Calibri" w:hAnsi="Arial" w:cs="Arial"/>
          <w:bCs/>
          <w:lang w:eastAsia="en-GB"/>
        </w:rPr>
      </w:pPr>
    </w:p>
    <w:p w:rsidR="007851C8" w:rsidRPr="00FA2E7C" w:rsidRDefault="000D2D68" w:rsidP="007851C8">
      <w:pPr>
        <w:pStyle w:val="NoSpacing"/>
        <w:jc w:val="both"/>
        <w:rPr>
          <w:rFonts w:ascii="Arial" w:eastAsia="Calibri" w:hAnsi="Arial" w:cs="Arial"/>
          <w:bCs/>
          <w:lang w:eastAsia="en-GB"/>
        </w:rPr>
      </w:pPr>
      <w:r w:rsidRPr="00FA2E7C">
        <w:rPr>
          <w:rFonts w:ascii="Arial" w:eastAsia="Calibri" w:hAnsi="Arial" w:cs="Arial"/>
          <w:bCs/>
          <w:lang w:eastAsia="en-GB"/>
        </w:rPr>
        <w:t>Boost 3 has a total project value of £6.083m to be defrayed from 1st January 2019 to 30th December 2021. The total project budget is part ERDF fu</w:t>
      </w:r>
      <w:r w:rsidRPr="00FA2E7C">
        <w:rPr>
          <w:rFonts w:ascii="Arial" w:eastAsia="Calibri" w:hAnsi="Arial" w:cs="Arial"/>
          <w:bCs/>
          <w:lang w:eastAsia="en-GB"/>
        </w:rPr>
        <w:t>nded (60%, £3.65m) and public match from Lancashire County Council (40%, £2.43m). In addition to the ERDF funded activity, BEIS provides c. £328k per annum to fund complementary activities to support the Growth Hub and for non-ERDF eligible activities.</w:t>
      </w:r>
    </w:p>
    <w:p w:rsidR="00A769CA" w:rsidRPr="00FA2E7C" w:rsidRDefault="000D2D68" w:rsidP="007851C8">
      <w:pPr>
        <w:pStyle w:val="NoSpacing"/>
        <w:jc w:val="both"/>
        <w:rPr>
          <w:rFonts w:ascii="Arial" w:eastAsia="Calibri" w:hAnsi="Arial" w:cs="Arial"/>
          <w:bCs/>
          <w:lang w:eastAsia="en-GB"/>
        </w:rPr>
      </w:pPr>
    </w:p>
    <w:p w:rsidR="007851C8" w:rsidRPr="00FA2E7C" w:rsidRDefault="000D2D68" w:rsidP="007851C8">
      <w:pPr>
        <w:pStyle w:val="NoSpacing"/>
        <w:jc w:val="both"/>
        <w:rPr>
          <w:rFonts w:ascii="Arial" w:eastAsia="Calibri" w:hAnsi="Arial" w:cs="Arial"/>
          <w:bCs/>
          <w:lang w:eastAsia="en-GB"/>
        </w:rPr>
      </w:pPr>
      <w:r w:rsidRPr="00FA2E7C">
        <w:rPr>
          <w:rFonts w:ascii="Arial" w:eastAsia="Calibri" w:hAnsi="Arial" w:cs="Arial"/>
          <w:bCs/>
          <w:lang w:eastAsia="en-GB"/>
        </w:rPr>
        <w:t>Ou</w:t>
      </w:r>
      <w:r w:rsidRPr="00FA2E7C">
        <w:rPr>
          <w:rFonts w:ascii="Arial" w:eastAsia="Calibri" w:hAnsi="Arial" w:cs="Arial"/>
          <w:bCs/>
          <w:lang w:eastAsia="en-GB"/>
        </w:rPr>
        <w:t xml:space="preserve">r #BoostYourRecovery campaign was launched in June 2020 to help Lancashire enterprises reset and plan their return from lockdown. Our #AskForHelp campaign, launched on day one of the lockdown has already assisted more than 5000 Lancashire businesses. </w:t>
      </w:r>
    </w:p>
    <w:p w:rsidR="007851C8" w:rsidRPr="00FA2E7C" w:rsidRDefault="000D2D68" w:rsidP="007851C8">
      <w:pPr>
        <w:pStyle w:val="NoSpacing"/>
        <w:jc w:val="both"/>
        <w:rPr>
          <w:rFonts w:ascii="Arial" w:eastAsia="Calibri" w:hAnsi="Arial" w:cs="Arial"/>
          <w:bCs/>
          <w:lang w:eastAsia="en-GB"/>
        </w:rPr>
      </w:pPr>
    </w:p>
    <w:p w:rsidR="00A769CA" w:rsidRPr="00FA2E7C" w:rsidRDefault="000D2D68" w:rsidP="007851C8">
      <w:pPr>
        <w:pStyle w:val="NoSpacing"/>
        <w:jc w:val="both"/>
        <w:rPr>
          <w:rFonts w:ascii="Arial" w:eastAsia="Calibri" w:hAnsi="Arial" w:cs="Arial"/>
          <w:bCs/>
          <w:lang w:eastAsia="en-GB"/>
        </w:rPr>
      </w:pPr>
      <w:r w:rsidRPr="00FA2E7C">
        <w:rPr>
          <w:rFonts w:ascii="Arial" w:eastAsia="Calibri" w:hAnsi="Arial" w:cs="Arial"/>
          <w:bCs/>
          <w:lang w:eastAsia="en-GB"/>
        </w:rPr>
        <w:t xml:space="preserve">As </w:t>
      </w:r>
      <w:r w:rsidRPr="00FA2E7C">
        <w:rPr>
          <w:rFonts w:ascii="Arial" w:eastAsia="Calibri" w:hAnsi="Arial" w:cs="Arial"/>
          <w:bCs/>
          <w:lang w:eastAsia="en-GB"/>
        </w:rPr>
        <w:t>mentioned in the Covid19 Impact Survey sent to BEIS on the 4th of May, there has been an increased demand for business support via the Lancashire Growth Hub (Boost) since the Covid-19 pandemic started. A comparison of the months March and April in 2019 and</w:t>
      </w:r>
      <w:r w:rsidRPr="00FA2E7C">
        <w:rPr>
          <w:rFonts w:ascii="Arial" w:eastAsia="Calibri" w:hAnsi="Arial" w:cs="Arial"/>
          <w:bCs/>
          <w:lang w:eastAsia="en-GB"/>
        </w:rPr>
        <w:t xml:space="preserve"> 2020 shows that during the crisis period 1104 interactions were Covid19 related queries out of a total of 1494 interactions (74%). The Growth Hub has recently dealt with 3-4 times its usual capacity for business support. </w:t>
      </w:r>
    </w:p>
    <w:p w:rsidR="006B4BB0" w:rsidRPr="00FA2E7C" w:rsidRDefault="000D2D68" w:rsidP="006B4BB0">
      <w:pPr>
        <w:pStyle w:val="NoSpacing"/>
        <w:jc w:val="both"/>
        <w:rPr>
          <w:rFonts w:ascii="Arial" w:eastAsia="Calibri" w:hAnsi="Arial" w:cs="Arial"/>
          <w:bCs/>
          <w:lang w:eastAsia="en-GB"/>
        </w:rPr>
      </w:pPr>
    </w:p>
    <w:p w:rsidR="006B4BB0" w:rsidRPr="00FA2E7C" w:rsidRDefault="000D2D68" w:rsidP="006B4BB0">
      <w:pPr>
        <w:pStyle w:val="NoSpacing"/>
        <w:jc w:val="both"/>
        <w:rPr>
          <w:rFonts w:ascii="Arial" w:eastAsia="Calibri" w:hAnsi="Arial" w:cs="Arial"/>
          <w:bCs/>
          <w:lang w:eastAsia="en-GB"/>
        </w:rPr>
      </w:pPr>
      <w:r w:rsidRPr="00FA2E7C">
        <w:rPr>
          <w:rFonts w:ascii="Arial" w:eastAsia="Calibri" w:hAnsi="Arial" w:cs="Arial"/>
          <w:bCs/>
          <w:lang w:eastAsia="en-GB"/>
        </w:rPr>
        <w:t>The main objectives of Boost are</w:t>
      </w:r>
      <w:r w:rsidRPr="00FA2E7C">
        <w:rPr>
          <w:rFonts w:ascii="Arial" w:eastAsia="Calibri" w:hAnsi="Arial" w:cs="Arial"/>
          <w:bCs/>
          <w:lang w:eastAsia="en-GB"/>
        </w:rPr>
        <w:t xml:space="preserve"> to:-</w:t>
      </w:r>
    </w:p>
    <w:p w:rsidR="006B4BB0" w:rsidRPr="00FA2E7C" w:rsidRDefault="000D2D68" w:rsidP="006B4BB0">
      <w:pPr>
        <w:pStyle w:val="NoSpacing"/>
        <w:spacing w:before="120" w:after="120"/>
        <w:jc w:val="both"/>
        <w:rPr>
          <w:rFonts w:ascii="Arial" w:eastAsia="Calibri" w:hAnsi="Arial" w:cs="Arial"/>
          <w:bCs/>
          <w:lang w:eastAsia="en-GB"/>
        </w:rPr>
      </w:pPr>
      <w:r w:rsidRPr="00FA2E7C">
        <w:rPr>
          <w:rFonts w:ascii="Arial" w:eastAsia="Calibri" w:hAnsi="Arial" w:cs="Arial"/>
          <w:bCs/>
          <w:lang w:eastAsia="en-GB"/>
        </w:rPr>
        <w:t xml:space="preserve">(a) connect businesses to the best support available from the private and public sectors, </w:t>
      </w:r>
    </w:p>
    <w:p w:rsidR="006B4BB0" w:rsidRPr="00FA2E7C" w:rsidRDefault="000D2D68" w:rsidP="006B4BB0">
      <w:pPr>
        <w:pStyle w:val="NoSpacing"/>
        <w:spacing w:before="120" w:after="120"/>
        <w:jc w:val="both"/>
        <w:rPr>
          <w:rFonts w:ascii="Arial" w:eastAsia="Calibri" w:hAnsi="Arial" w:cs="Arial"/>
          <w:bCs/>
          <w:lang w:eastAsia="en-GB"/>
        </w:rPr>
      </w:pPr>
      <w:r w:rsidRPr="00FA2E7C">
        <w:rPr>
          <w:rFonts w:ascii="Arial" w:eastAsia="Calibri" w:hAnsi="Arial" w:cs="Arial"/>
          <w:bCs/>
          <w:lang w:eastAsia="en-GB"/>
        </w:rPr>
        <w:t xml:space="preserve">(b) carry on building its reach, and </w:t>
      </w:r>
    </w:p>
    <w:p w:rsidR="006B4BB0" w:rsidRPr="00FA2E7C" w:rsidRDefault="000D2D68" w:rsidP="006B4BB0">
      <w:pPr>
        <w:pStyle w:val="NoSpacing"/>
        <w:spacing w:before="120" w:after="120"/>
        <w:jc w:val="both"/>
        <w:rPr>
          <w:rFonts w:ascii="Arial" w:eastAsia="Calibri" w:hAnsi="Arial" w:cs="Arial"/>
          <w:bCs/>
          <w:lang w:eastAsia="en-GB"/>
        </w:rPr>
      </w:pPr>
      <w:r w:rsidRPr="00FA2E7C">
        <w:rPr>
          <w:rFonts w:ascii="Arial" w:eastAsia="Calibri" w:hAnsi="Arial" w:cs="Arial"/>
          <w:bCs/>
          <w:lang w:eastAsia="en-GB"/>
        </w:rPr>
        <w:t>(c) simplify the business support landscape</w:t>
      </w:r>
    </w:p>
    <w:p w:rsidR="00513D5F" w:rsidRPr="00FA2E7C" w:rsidRDefault="000D2D68" w:rsidP="00513D5F">
      <w:pPr>
        <w:pStyle w:val="NoSpacing"/>
        <w:jc w:val="both"/>
        <w:rPr>
          <w:rFonts w:ascii="Arial" w:hAnsi="Arial" w:cs="Arial"/>
        </w:rPr>
      </w:pPr>
    </w:p>
    <w:p w:rsidR="00FE4F07" w:rsidRPr="0072404F" w:rsidRDefault="000D2D68" w:rsidP="00513D5F">
      <w:pPr>
        <w:pStyle w:val="NoSpacing"/>
        <w:jc w:val="both"/>
        <w:rPr>
          <w:rFonts w:ascii="Arial" w:hAnsi="Arial" w:cs="Arial"/>
          <w:b/>
          <w:u w:val="single"/>
        </w:rPr>
      </w:pPr>
      <w:r w:rsidRPr="0072404F">
        <w:rPr>
          <w:rFonts w:ascii="Arial" w:hAnsi="Arial" w:cs="Arial"/>
          <w:b/>
          <w:u w:val="single"/>
        </w:rPr>
        <w:t>P</w:t>
      </w:r>
      <w:r>
        <w:rPr>
          <w:rFonts w:ascii="Arial" w:hAnsi="Arial" w:cs="Arial"/>
          <w:b/>
          <w:u w:val="single"/>
        </w:rPr>
        <w:t>ERFORMANCE</w:t>
      </w:r>
    </w:p>
    <w:p w:rsidR="00C90F98" w:rsidRPr="00FA2E7C" w:rsidRDefault="000D2D68" w:rsidP="00513D5F">
      <w:pPr>
        <w:pStyle w:val="NoSpacing"/>
        <w:jc w:val="both"/>
        <w:rPr>
          <w:rFonts w:ascii="Arial" w:hAnsi="Arial" w:cs="Arial"/>
          <w:b/>
          <w:i/>
        </w:rPr>
      </w:pPr>
    </w:p>
    <w:p w:rsidR="00525DBE" w:rsidRPr="00FA2E7C" w:rsidRDefault="000D2D68" w:rsidP="00C90F98">
      <w:pPr>
        <w:spacing w:after="0" w:line="240" w:lineRule="auto"/>
        <w:ind w:left="0" w:firstLine="0"/>
        <w:jc w:val="both"/>
        <w:rPr>
          <w:rFonts w:eastAsiaTheme="minorHAnsi"/>
          <w:color w:val="auto"/>
          <w:sz w:val="22"/>
          <w:szCs w:val="22"/>
          <w:lang w:eastAsia="en-US"/>
        </w:rPr>
      </w:pPr>
      <w:r w:rsidRPr="00FA2E7C">
        <w:rPr>
          <w:rFonts w:eastAsiaTheme="minorHAnsi"/>
          <w:color w:val="auto"/>
          <w:sz w:val="22"/>
          <w:szCs w:val="22"/>
          <w:lang w:eastAsia="en-US"/>
        </w:rPr>
        <w:t xml:space="preserve">Boost has 5 core programmes of business support and collaboratively works with 34 other associate business support agencies in Lancashire as the Accountable Body for the Ministry for Housing, Communities and Local Government </w:t>
      </w:r>
      <w:r w:rsidRPr="00FA2E7C">
        <w:rPr>
          <w:rFonts w:eastAsiaTheme="minorHAnsi"/>
          <w:b/>
          <w:color w:val="auto"/>
          <w:sz w:val="22"/>
          <w:szCs w:val="22"/>
          <w:lang w:eastAsia="en-US"/>
        </w:rPr>
        <w:t>(MHCLG)</w:t>
      </w:r>
      <w:r w:rsidRPr="00FA2E7C">
        <w:rPr>
          <w:rFonts w:eastAsiaTheme="minorHAnsi"/>
          <w:color w:val="auto"/>
          <w:sz w:val="22"/>
          <w:szCs w:val="22"/>
          <w:lang w:eastAsia="en-US"/>
        </w:rPr>
        <w:t xml:space="preserve"> and the Department for </w:t>
      </w:r>
      <w:r w:rsidRPr="00FA2E7C">
        <w:rPr>
          <w:rFonts w:eastAsiaTheme="minorHAnsi"/>
          <w:color w:val="auto"/>
          <w:sz w:val="22"/>
          <w:szCs w:val="22"/>
          <w:lang w:eastAsia="en-US"/>
        </w:rPr>
        <w:t>Business, Energy and Industrial Strategy (BEIS). Boost has been a central instrument in enabling sustainable private sector-led growth and job creation in Lancashire.</w:t>
      </w:r>
    </w:p>
    <w:p w:rsidR="00C90F98" w:rsidRPr="00FA2E7C" w:rsidRDefault="000D2D68" w:rsidP="00525DBE">
      <w:pPr>
        <w:spacing w:after="0" w:line="240" w:lineRule="auto"/>
        <w:ind w:left="0" w:firstLine="0"/>
        <w:jc w:val="both"/>
        <w:rPr>
          <w:rFonts w:eastAsiaTheme="minorHAnsi"/>
          <w:color w:val="auto"/>
          <w:sz w:val="22"/>
          <w:szCs w:val="22"/>
          <w:lang w:eastAsia="en-US"/>
        </w:rPr>
      </w:pPr>
      <w:r w:rsidRPr="00FA2E7C">
        <w:rPr>
          <w:rFonts w:eastAsiaTheme="minorHAnsi"/>
          <w:color w:val="auto"/>
          <w:sz w:val="22"/>
          <w:szCs w:val="22"/>
          <w:lang w:eastAsia="en-US"/>
        </w:rPr>
        <w:t xml:space="preserve"> </w:t>
      </w:r>
    </w:p>
    <w:p w:rsidR="00FE4F07" w:rsidRPr="0072404F" w:rsidRDefault="000D2D68" w:rsidP="00513D5F">
      <w:pPr>
        <w:pStyle w:val="NoSpacing"/>
        <w:jc w:val="both"/>
        <w:rPr>
          <w:rFonts w:ascii="Arial" w:hAnsi="Arial" w:cs="Arial"/>
          <w:b/>
        </w:rPr>
      </w:pPr>
      <w:r w:rsidRPr="0072404F">
        <w:rPr>
          <w:rFonts w:ascii="Arial" w:hAnsi="Arial" w:cs="Arial"/>
          <w:b/>
        </w:rPr>
        <w:t>Programme Milestones</w:t>
      </w:r>
    </w:p>
    <w:p w:rsidR="006D6208" w:rsidRPr="00FA2E7C" w:rsidRDefault="000D2D68" w:rsidP="00513D5F">
      <w:pPr>
        <w:pStyle w:val="NoSpacing"/>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1992"/>
        <w:gridCol w:w="2003"/>
      </w:tblGrid>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rPr>
                <w:rFonts w:eastAsia="Times New Roman"/>
                <w:b/>
                <w:iCs/>
                <w:color w:val="auto"/>
                <w:sz w:val="22"/>
                <w:szCs w:val="22"/>
              </w:rPr>
            </w:pPr>
            <w:r w:rsidRPr="00FA2E7C">
              <w:rPr>
                <w:rFonts w:eastAsia="Times New Roman"/>
                <w:b/>
                <w:iCs/>
                <w:color w:val="auto"/>
                <w:sz w:val="22"/>
                <w:szCs w:val="22"/>
              </w:rPr>
              <w:t>Milestone</w:t>
            </w:r>
          </w:p>
        </w:tc>
        <w:tc>
          <w:tcPr>
            <w:tcW w:w="1992" w:type="dxa"/>
            <w:shd w:val="clear" w:color="auto" w:fill="FFFFFF"/>
            <w:vAlign w:val="center"/>
          </w:tcPr>
          <w:p w:rsidR="006D6208" w:rsidRPr="00FA2E7C" w:rsidRDefault="000D2D68" w:rsidP="006D6208">
            <w:pPr>
              <w:spacing w:after="0" w:line="240" w:lineRule="auto"/>
              <w:ind w:left="0" w:firstLine="0"/>
              <w:jc w:val="center"/>
              <w:rPr>
                <w:rFonts w:eastAsia="Times New Roman"/>
                <w:b/>
                <w:iCs/>
                <w:color w:val="auto"/>
                <w:sz w:val="22"/>
                <w:szCs w:val="22"/>
              </w:rPr>
            </w:pPr>
            <w:r w:rsidRPr="00FA2E7C">
              <w:rPr>
                <w:rFonts w:eastAsia="Times New Roman"/>
                <w:b/>
                <w:iCs/>
                <w:color w:val="auto"/>
                <w:sz w:val="22"/>
                <w:szCs w:val="22"/>
              </w:rPr>
              <w:t>Start Date</w:t>
            </w:r>
          </w:p>
        </w:tc>
        <w:tc>
          <w:tcPr>
            <w:tcW w:w="2003" w:type="dxa"/>
            <w:shd w:val="clear" w:color="auto" w:fill="FFFFFF"/>
            <w:vAlign w:val="center"/>
          </w:tcPr>
          <w:p w:rsidR="006D6208" w:rsidRPr="00FA2E7C" w:rsidRDefault="000D2D68" w:rsidP="006D6208">
            <w:pPr>
              <w:spacing w:after="0" w:line="240" w:lineRule="auto"/>
              <w:ind w:left="0" w:firstLine="0"/>
              <w:jc w:val="center"/>
              <w:rPr>
                <w:rFonts w:eastAsia="Times New Roman"/>
                <w:b/>
                <w:iCs/>
                <w:color w:val="auto"/>
                <w:sz w:val="22"/>
                <w:szCs w:val="22"/>
              </w:rPr>
            </w:pPr>
            <w:r w:rsidRPr="00FA2E7C">
              <w:rPr>
                <w:rFonts w:eastAsia="Times New Roman"/>
                <w:b/>
                <w:iCs/>
                <w:color w:val="auto"/>
                <w:sz w:val="22"/>
                <w:szCs w:val="22"/>
              </w:rPr>
              <w:t>Completion Date</w:t>
            </w:r>
          </w:p>
        </w:tc>
      </w:tr>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 xml:space="preserve">LCC Cabinet Approval for </w:t>
            </w:r>
            <w:r w:rsidRPr="00FA2E7C">
              <w:rPr>
                <w:rFonts w:eastAsia="Times New Roman"/>
                <w:iCs/>
                <w:color w:val="auto"/>
                <w:sz w:val="22"/>
                <w:szCs w:val="22"/>
              </w:rPr>
              <w:t>match funding</w:t>
            </w:r>
          </w:p>
        </w:tc>
        <w:tc>
          <w:tcPr>
            <w:tcW w:w="1992"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2018</w:t>
            </w:r>
          </w:p>
        </w:tc>
        <w:tc>
          <w:tcPr>
            <w:tcW w:w="2003"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September 2018</w:t>
            </w:r>
          </w:p>
        </w:tc>
      </w:tr>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 xml:space="preserve">Boost 3 Procurement </w:t>
            </w:r>
          </w:p>
        </w:tc>
        <w:tc>
          <w:tcPr>
            <w:tcW w:w="1992"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 December 2018</w:t>
            </w:r>
          </w:p>
        </w:tc>
        <w:tc>
          <w:tcPr>
            <w:tcW w:w="2003"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r>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Boost 3 Core Delivery Commences</w:t>
            </w:r>
          </w:p>
        </w:tc>
        <w:tc>
          <w:tcPr>
            <w:tcW w:w="1992"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December 2021</w:t>
            </w:r>
          </w:p>
        </w:tc>
      </w:tr>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contextualSpacing/>
              <w:rPr>
                <w:rFonts w:eastAsia="Times New Roman"/>
                <w:iCs/>
                <w:color w:val="auto"/>
                <w:sz w:val="22"/>
                <w:szCs w:val="22"/>
              </w:rPr>
            </w:pPr>
            <w:r w:rsidRPr="00FA2E7C">
              <w:rPr>
                <w:rFonts w:eastAsia="Times New Roman"/>
                <w:iCs/>
                <w:color w:val="auto"/>
                <w:sz w:val="22"/>
                <w:szCs w:val="22"/>
              </w:rPr>
              <w:t>Project Delivery (Business Support)</w:t>
            </w:r>
          </w:p>
        </w:tc>
        <w:tc>
          <w:tcPr>
            <w:tcW w:w="1992"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September 2021</w:t>
            </w:r>
          </w:p>
        </w:tc>
      </w:tr>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Mid Term Evaluation</w:t>
            </w:r>
            <w:r>
              <w:rPr>
                <w:rFonts w:eastAsia="Times New Roman"/>
                <w:iCs/>
                <w:color w:val="auto"/>
                <w:sz w:val="22"/>
                <w:szCs w:val="22"/>
              </w:rPr>
              <w:t xml:space="preserve"> *</w:t>
            </w:r>
          </w:p>
        </w:tc>
        <w:tc>
          <w:tcPr>
            <w:tcW w:w="1992"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March 2020</w:t>
            </w:r>
          </w:p>
        </w:tc>
        <w:tc>
          <w:tcPr>
            <w:tcW w:w="2003"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2020</w:t>
            </w:r>
          </w:p>
        </w:tc>
      </w:tr>
      <w:tr w:rsidR="00E54331" w:rsidTr="006D6208">
        <w:trPr>
          <w:trHeight w:val="397"/>
        </w:trPr>
        <w:tc>
          <w:tcPr>
            <w:tcW w:w="5021"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lastRenderedPageBreak/>
              <w:t>Final Evaluation</w:t>
            </w:r>
          </w:p>
        </w:tc>
        <w:tc>
          <w:tcPr>
            <w:tcW w:w="1992"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October 2021</w:t>
            </w:r>
          </w:p>
        </w:tc>
        <w:tc>
          <w:tcPr>
            <w:tcW w:w="2003" w:type="dxa"/>
            <w:shd w:val="clear" w:color="auto" w:fill="FFFFFF"/>
            <w:vAlign w:val="center"/>
          </w:tcPr>
          <w:p w:rsidR="006D6208" w:rsidRPr="00FA2E7C" w:rsidRDefault="000D2D68"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December 2021</w:t>
            </w:r>
          </w:p>
        </w:tc>
      </w:tr>
    </w:tbl>
    <w:p w:rsidR="000674D6" w:rsidRPr="00FA2E7C" w:rsidRDefault="000D2D68" w:rsidP="000674D6">
      <w:pPr>
        <w:pStyle w:val="NoSpacing"/>
        <w:jc w:val="both"/>
        <w:rPr>
          <w:rFonts w:ascii="Arial" w:hAnsi="Arial" w:cs="Arial"/>
        </w:rPr>
      </w:pPr>
      <w:r>
        <w:rPr>
          <w:rFonts w:ascii="Arial" w:hAnsi="Arial" w:cs="Arial"/>
        </w:rPr>
        <w:t>* The Mid Term Evaluation is now complete with the findings due to be presented to the LEPs Business Support Management Board at its meeting on the 29</w:t>
      </w:r>
      <w:r w:rsidRPr="000674D6">
        <w:rPr>
          <w:rFonts w:ascii="Arial" w:hAnsi="Arial" w:cs="Arial"/>
          <w:vertAlign w:val="superscript"/>
        </w:rPr>
        <w:t>th</w:t>
      </w:r>
      <w:r>
        <w:rPr>
          <w:rFonts w:ascii="Arial" w:hAnsi="Arial" w:cs="Arial"/>
        </w:rPr>
        <w:t xml:space="preserve"> October 2020. </w:t>
      </w:r>
    </w:p>
    <w:p w:rsidR="00FE4F07" w:rsidRPr="00FA2E7C" w:rsidRDefault="000D2D68" w:rsidP="00513D5F">
      <w:pPr>
        <w:pStyle w:val="NoSpacing"/>
        <w:jc w:val="both"/>
        <w:rPr>
          <w:rFonts w:ascii="Arial" w:hAnsi="Arial" w:cs="Arial"/>
        </w:rPr>
      </w:pPr>
    </w:p>
    <w:p w:rsidR="00FA2E7C" w:rsidRDefault="000D2D68" w:rsidP="00513D5F">
      <w:pPr>
        <w:pStyle w:val="NoSpacing"/>
        <w:jc w:val="both"/>
        <w:rPr>
          <w:rFonts w:ascii="Arial" w:hAnsi="Arial" w:cs="Arial"/>
          <w:b/>
        </w:rPr>
      </w:pPr>
      <w:r w:rsidRPr="00FA2E7C">
        <w:rPr>
          <w:rFonts w:ascii="Arial" w:hAnsi="Arial" w:cs="Arial"/>
          <w:b/>
        </w:rPr>
        <w:t>Key Performance Indicators - as</w:t>
      </w:r>
      <w:r w:rsidRPr="00FA2E7C">
        <w:rPr>
          <w:rFonts w:ascii="Arial" w:hAnsi="Arial" w:cs="Arial"/>
          <w:b/>
        </w:rPr>
        <w:t xml:space="preserve"> at 30</w:t>
      </w:r>
      <w:r w:rsidRPr="00FA2E7C">
        <w:rPr>
          <w:rFonts w:ascii="Arial" w:hAnsi="Arial" w:cs="Arial"/>
          <w:b/>
          <w:vertAlign w:val="superscript"/>
        </w:rPr>
        <w:t>th</w:t>
      </w:r>
      <w:r w:rsidRPr="00FA2E7C">
        <w:rPr>
          <w:rFonts w:ascii="Arial" w:hAnsi="Arial" w:cs="Arial"/>
          <w:b/>
        </w:rPr>
        <w:t xml:space="preserve"> June 2020</w:t>
      </w:r>
    </w:p>
    <w:p w:rsidR="00015091" w:rsidRDefault="000D2D68" w:rsidP="00513D5F">
      <w:pPr>
        <w:pStyle w:val="NoSpacing"/>
        <w:jc w:val="both"/>
        <w:rPr>
          <w:rFonts w:ascii="Arial" w:hAnsi="Arial" w:cs="Arial"/>
        </w:rPr>
      </w:pPr>
      <w:r w:rsidRPr="0072404F">
        <w:rPr>
          <w:rFonts w:ascii="Arial" w:hAnsi="Arial" w:cs="Arial"/>
        </w:rPr>
        <w:t xml:space="preserve">The table </w:t>
      </w:r>
      <w:r>
        <w:rPr>
          <w:rFonts w:ascii="Arial" w:hAnsi="Arial" w:cs="Arial"/>
        </w:rPr>
        <w:t xml:space="preserve">below </w:t>
      </w:r>
      <w:r w:rsidRPr="0072404F">
        <w:rPr>
          <w:rFonts w:ascii="Arial" w:hAnsi="Arial" w:cs="Arial"/>
        </w:rPr>
        <w:t>contains the core outputs as specified within the contracts with service providers and Managing Authorities (MHCLG &amp; BEIS)</w:t>
      </w:r>
      <w:r>
        <w:rPr>
          <w:rFonts w:ascii="Arial" w:hAnsi="Arial" w:cs="Arial"/>
        </w:rPr>
        <w:t xml:space="preserve"> – for Boost 3 only.</w:t>
      </w:r>
    </w:p>
    <w:p w:rsidR="00015091" w:rsidRDefault="000D2D68" w:rsidP="00513D5F">
      <w:pPr>
        <w:pStyle w:val="NoSpacing"/>
        <w:jc w:val="both"/>
        <w:rPr>
          <w:rFonts w:ascii="Arial" w:hAnsi="Arial" w:cs="Arial"/>
        </w:rPr>
      </w:pPr>
    </w:p>
    <w:p w:rsidR="00015091" w:rsidRDefault="000D2D68" w:rsidP="00513D5F">
      <w:pPr>
        <w:pStyle w:val="NoSpacing"/>
        <w:jc w:val="both"/>
        <w:rPr>
          <w:rFonts w:ascii="Arial" w:hAnsi="Arial" w:cs="Arial"/>
        </w:rPr>
      </w:pPr>
      <w:r>
        <w:rPr>
          <w:rFonts w:ascii="Arial" w:hAnsi="Arial" w:cs="Arial"/>
        </w:rPr>
        <w:t>The combined C8 (Jobs Created) for Boost 1,2 &amp;3 = 2781.</w:t>
      </w:r>
    </w:p>
    <w:p w:rsidR="00015091" w:rsidRPr="0072404F" w:rsidRDefault="000D2D68" w:rsidP="00513D5F">
      <w:pPr>
        <w:pStyle w:val="NoSpacing"/>
        <w:jc w:val="both"/>
        <w:rPr>
          <w:rFonts w:ascii="Arial" w:hAnsi="Arial" w:cs="Arial"/>
        </w:rPr>
      </w:pPr>
      <w:r>
        <w:rPr>
          <w:rFonts w:ascii="Arial" w:hAnsi="Arial" w:cs="Arial"/>
        </w:rPr>
        <w:t xml:space="preserve">The combined C1 </w:t>
      </w:r>
      <w:r>
        <w:rPr>
          <w:rFonts w:ascii="Arial" w:hAnsi="Arial" w:cs="Arial"/>
        </w:rPr>
        <w:t>(Enterprise supported) for Boost 1,2 &amp; 3 = 3135.</w:t>
      </w:r>
    </w:p>
    <w:p w:rsidR="00FA2E7C" w:rsidRPr="00FA2E7C" w:rsidRDefault="000D2D68" w:rsidP="00513D5F">
      <w:pPr>
        <w:pStyle w:val="NoSpacing"/>
        <w:jc w:val="both"/>
        <w:rPr>
          <w:rFonts w:ascii="Arial" w:hAnsi="Arial" w:cs="Arial"/>
        </w:rPr>
      </w:pPr>
    </w:p>
    <w:tbl>
      <w:tblPr>
        <w:tblStyle w:val="TableGrid"/>
        <w:tblW w:w="9493" w:type="dxa"/>
        <w:tblLook w:val="04A0" w:firstRow="1" w:lastRow="0" w:firstColumn="1" w:lastColumn="0" w:noHBand="0" w:noVBand="1"/>
      </w:tblPr>
      <w:tblGrid>
        <w:gridCol w:w="2029"/>
        <w:gridCol w:w="1623"/>
        <w:gridCol w:w="1807"/>
        <w:gridCol w:w="3327"/>
        <w:gridCol w:w="707"/>
      </w:tblGrid>
      <w:tr w:rsidR="00E54331" w:rsidTr="0072404F">
        <w:tc>
          <w:tcPr>
            <w:tcW w:w="2366" w:type="dxa"/>
          </w:tcPr>
          <w:p w:rsidR="00E06969" w:rsidRPr="0072404F" w:rsidRDefault="000D2D68" w:rsidP="00513D5F">
            <w:pPr>
              <w:pStyle w:val="NoSpacing"/>
              <w:jc w:val="both"/>
              <w:rPr>
                <w:rFonts w:ascii="Arial" w:hAnsi="Arial" w:cs="Arial"/>
                <w:b/>
              </w:rPr>
            </w:pPr>
            <w:r w:rsidRPr="0072404F">
              <w:rPr>
                <w:rFonts w:ascii="Arial" w:hAnsi="Arial" w:cs="Arial"/>
                <w:b/>
              </w:rPr>
              <w:t>KPI</w:t>
            </w:r>
          </w:p>
        </w:tc>
        <w:tc>
          <w:tcPr>
            <w:tcW w:w="889" w:type="dxa"/>
          </w:tcPr>
          <w:p w:rsidR="00E06969" w:rsidRPr="0072404F" w:rsidRDefault="000D2D68" w:rsidP="00FA2E7C">
            <w:pPr>
              <w:pStyle w:val="NoSpacing"/>
              <w:jc w:val="center"/>
              <w:rPr>
                <w:rFonts w:ascii="Arial" w:hAnsi="Arial" w:cs="Arial"/>
                <w:b/>
              </w:rPr>
            </w:pPr>
            <w:r w:rsidRPr="0072404F">
              <w:rPr>
                <w:rFonts w:ascii="Arial" w:hAnsi="Arial" w:cs="Arial"/>
                <w:b/>
              </w:rPr>
              <w:t xml:space="preserve">Target </w:t>
            </w:r>
          </w:p>
        </w:tc>
        <w:tc>
          <w:tcPr>
            <w:tcW w:w="1232" w:type="dxa"/>
          </w:tcPr>
          <w:p w:rsidR="00E06969" w:rsidRPr="0072404F" w:rsidRDefault="000D2D68" w:rsidP="00FA2E7C">
            <w:pPr>
              <w:pStyle w:val="NoSpacing"/>
              <w:jc w:val="center"/>
              <w:rPr>
                <w:rFonts w:ascii="Arial" w:hAnsi="Arial" w:cs="Arial"/>
                <w:b/>
              </w:rPr>
            </w:pPr>
            <w:r w:rsidRPr="0072404F">
              <w:rPr>
                <w:rFonts w:ascii="Arial" w:hAnsi="Arial" w:cs="Arial"/>
                <w:b/>
              </w:rPr>
              <w:t xml:space="preserve">Achieved </w:t>
            </w:r>
          </w:p>
        </w:tc>
        <w:tc>
          <w:tcPr>
            <w:tcW w:w="4297" w:type="dxa"/>
          </w:tcPr>
          <w:p w:rsidR="00E06969" w:rsidRPr="0072404F" w:rsidRDefault="000D2D68" w:rsidP="00241509">
            <w:pPr>
              <w:pStyle w:val="NoSpacing"/>
              <w:jc w:val="both"/>
              <w:rPr>
                <w:rFonts w:ascii="Arial" w:hAnsi="Arial" w:cs="Arial"/>
                <w:b/>
              </w:rPr>
            </w:pPr>
            <w:r w:rsidRPr="0072404F">
              <w:rPr>
                <w:rFonts w:ascii="Arial" w:hAnsi="Arial" w:cs="Arial"/>
                <w:b/>
              </w:rPr>
              <w:t xml:space="preserve"> Comments</w:t>
            </w:r>
          </w:p>
        </w:tc>
        <w:tc>
          <w:tcPr>
            <w:tcW w:w="709" w:type="dxa"/>
          </w:tcPr>
          <w:p w:rsidR="00E06969" w:rsidRPr="0072404F" w:rsidRDefault="000D2D68" w:rsidP="00513D5F">
            <w:pPr>
              <w:pStyle w:val="NoSpacing"/>
              <w:jc w:val="both"/>
              <w:rPr>
                <w:rFonts w:ascii="Arial" w:hAnsi="Arial" w:cs="Arial"/>
                <w:b/>
              </w:rPr>
            </w:pPr>
            <w:r w:rsidRPr="0072404F">
              <w:rPr>
                <w:rFonts w:ascii="Arial" w:hAnsi="Arial" w:cs="Arial"/>
                <w:b/>
              </w:rPr>
              <w:t>RAG</w:t>
            </w:r>
          </w:p>
        </w:tc>
      </w:tr>
      <w:tr w:rsidR="00E54331" w:rsidTr="000674D6">
        <w:tc>
          <w:tcPr>
            <w:tcW w:w="2366" w:type="dxa"/>
          </w:tcPr>
          <w:p w:rsidR="000674D6" w:rsidRPr="000674D6" w:rsidRDefault="000D2D68" w:rsidP="00513D5F">
            <w:pPr>
              <w:pStyle w:val="NoSpacing"/>
              <w:jc w:val="both"/>
              <w:rPr>
                <w:rFonts w:ascii="Arial" w:hAnsi="Arial" w:cs="Arial"/>
              </w:rPr>
            </w:pPr>
            <w:r w:rsidRPr="000674D6">
              <w:rPr>
                <w:rFonts w:ascii="Arial" w:hAnsi="Arial" w:cs="Arial"/>
              </w:rPr>
              <w:t>Programme Expenditure</w:t>
            </w:r>
          </w:p>
        </w:tc>
        <w:tc>
          <w:tcPr>
            <w:tcW w:w="889" w:type="dxa"/>
          </w:tcPr>
          <w:p w:rsidR="000674D6" w:rsidRPr="000674D6" w:rsidRDefault="000D2D68" w:rsidP="000674D6">
            <w:pPr>
              <w:jc w:val="both"/>
              <w:rPr>
                <w:color w:val="auto"/>
                <w:sz w:val="22"/>
                <w:szCs w:val="22"/>
              </w:rPr>
            </w:pPr>
            <w:r w:rsidRPr="000674D6">
              <w:rPr>
                <w:bCs/>
                <w:color w:val="auto"/>
                <w:sz w:val="22"/>
                <w:szCs w:val="22"/>
              </w:rPr>
              <w:t xml:space="preserve">£2,770,086.67 </w:t>
            </w:r>
          </w:p>
        </w:tc>
        <w:tc>
          <w:tcPr>
            <w:tcW w:w="1232" w:type="dxa"/>
          </w:tcPr>
          <w:p w:rsidR="000674D6" w:rsidRPr="000674D6" w:rsidRDefault="000D2D68" w:rsidP="000674D6">
            <w:pPr>
              <w:jc w:val="both"/>
              <w:rPr>
                <w:rFonts w:ascii="Calibri" w:eastAsiaTheme="minorHAnsi" w:hAnsi="Calibri" w:cs="Calibri"/>
                <w:bCs/>
                <w:color w:val="auto"/>
                <w:sz w:val="22"/>
                <w:szCs w:val="22"/>
              </w:rPr>
            </w:pPr>
            <w:r w:rsidRPr="000674D6">
              <w:rPr>
                <w:bCs/>
                <w:color w:val="auto"/>
                <w:sz w:val="22"/>
                <w:szCs w:val="22"/>
              </w:rPr>
              <w:t>£2,793,784.91.  </w:t>
            </w:r>
          </w:p>
          <w:p w:rsidR="000674D6" w:rsidRPr="000674D6" w:rsidRDefault="000D2D68" w:rsidP="00FA2E7C">
            <w:pPr>
              <w:pStyle w:val="NoSpacing"/>
              <w:jc w:val="center"/>
              <w:rPr>
                <w:rFonts w:ascii="Arial" w:hAnsi="Arial" w:cs="Arial"/>
              </w:rPr>
            </w:pPr>
          </w:p>
        </w:tc>
        <w:tc>
          <w:tcPr>
            <w:tcW w:w="4297" w:type="dxa"/>
          </w:tcPr>
          <w:p w:rsidR="000674D6" w:rsidRPr="000674D6" w:rsidRDefault="000D2D68" w:rsidP="00241509">
            <w:pPr>
              <w:pStyle w:val="NoSpacing"/>
              <w:jc w:val="both"/>
              <w:rPr>
                <w:rFonts w:ascii="Arial" w:hAnsi="Arial" w:cs="Arial"/>
              </w:rPr>
            </w:pPr>
          </w:p>
        </w:tc>
        <w:tc>
          <w:tcPr>
            <w:tcW w:w="709" w:type="dxa"/>
            <w:shd w:val="clear" w:color="auto" w:fill="538135" w:themeFill="accent6" w:themeFillShade="BF"/>
          </w:tcPr>
          <w:p w:rsidR="000674D6" w:rsidRPr="000674D6" w:rsidRDefault="000D2D68" w:rsidP="00513D5F">
            <w:pPr>
              <w:pStyle w:val="NoSpacing"/>
              <w:jc w:val="both"/>
              <w:rPr>
                <w:rFonts w:ascii="Arial" w:hAnsi="Arial" w:cs="Arial"/>
              </w:rPr>
            </w:pPr>
          </w:p>
        </w:tc>
      </w:tr>
      <w:tr w:rsidR="00E54331" w:rsidTr="0072404F">
        <w:tc>
          <w:tcPr>
            <w:tcW w:w="2366" w:type="dxa"/>
          </w:tcPr>
          <w:p w:rsidR="00E06969" w:rsidRPr="00FA2E7C" w:rsidRDefault="000D2D68" w:rsidP="0072404F">
            <w:pPr>
              <w:pStyle w:val="NoSpacing"/>
              <w:rPr>
                <w:rFonts w:ascii="Arial" w:hAnsi="Arial" w:cs="Arial"/>
              </w:rPr>
            </w:pPr>
            <w:r w:rsidRPr="00FA2E7C">
              <w:rPr>
                <w:rFonts w:ascii="Arial" w:hAnsi="Arial" w:cs="Arial"/>
              </w:rPr>
              <w:t xml:space="preserve">New to Boost (NTB) businesses: reach out and engage with enterprises who have not accessed publicly funded </w:t>
            </w:r>
            <w:r w:rsidRPr="00FA2E7C">
              <w:rPr>
                <w:rFonts w:ascii="Arial" w:hAnsi="Arial" w:cs="Arial"/>
              </w:rPr>
              <w:t>support previously.</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625</w:t>
            </w:r>
          </w:p>
        </w:tc>
        <w:tc>
          <w:tcPr>
            <w:tcW w:w="1232" w:type="dxa"/>
          </w:tcPr>
          <w:p w:rsidR="00E06969" w:rsidRPr="00FA2E7C" w:rsidRDefault="000D2D68" w:rsidP="00513D5F">
            <w:pPr>
              <w:pStyle w:val="NoSpacing"/>
              <w:jc w:val="both"/>
              <w:rPr>
                <w:rFonts w:ascii="Arial" w:hAnsi="Arial" w:cs="Arial"/>
              </w:rPr>
            </w:pPr>
            <w:r w:rsidRPr="00FA2E7C">
              <w:rPr>
                <w:rFonts w:ascii="Arial" w:hAnsi="Arial" w:cs="Arial"/>
              </w:rPr>
              <w:t>2771</w:t>
            </w:r>
          </w:p>
          <w:p w:rsidR="00E06969" w:rsidRPr="00FA2E7C" w:rsidRDefault="000D2D68" w:rsidP="0072404F">
            <w:pPr>
              <w:pStyle w:val="NoSpacing"/>
              <w:jc w:val="both"/>
              <w:rPr>
                <w:rFonts w:ascii="Arial" w:hAnsi="Arial" w:cs="Arial"/>
              </w:rPr>
            </w:pPr>
            <w:r w:rsidRPr="00FA2E7C">
              <w:rPr>
                <w:rFonts w:ascii="Arial" w:hAnsi="Arial" w:cs="Arial"/>
                <w:highlight w:val="green"/>
              </w:rPr>
              <w:t>443%</w:t>
            </w:r>
          </w:p>
        </w:tc>
        <w:tc>
          <w:tcPr>
            <w:tcW w:w="4297" w:type="dxa"/>
          </w:tcPr>
          <w:p w:rsidR="00E06969" w:rsidRPr="00FA2E7C" w:rsidRDefault="000D2D68" w:rsidP="0072404F">
            <w:pPr>
              <w:pStyle w:val="NoSpacing"/>
              <w:rPr>
                <w:rFonts w:ascii="Arial" w:hAnsi="Arial" w:cs="Arial"/>
              </w:rPr>
            </w:pPr>
            <w:r w:rsidRPr="00FA2E7C">
              <w:rPr>
                <w:rFonts w:ascii="Arial" w:hAnsi="Arial" w:cs="Arial"/>
              </w:rPr>
              <w:t xml:space="preserve">We have already achieved </w:t>
            </w:r>
            <w:r w:rsidRPr="00FA2E7C">
              <w:rPr>
                <w:rFonts w:ascii="Arial" w:hAnsi="Arial" w:cs="Arial"/>
                <w:highlight w:val="green"/>
              </w:rPr>
              <w:t>221%</w:t>
            </w:r>
            <w:r w:rsidRPr="00FA2E7C">
              <w:rPr>
                <w:rFonts w:ascii="Arial" w:hAnsi="Arial" w:cs="Arial"/>
              </w:rPr>
              <w:t xml:space="preserve"> of our overall programme target and continue to proactively engage with Lancashire businesses who have not accessed publicly funded support previously. </w:t>
            </w:r>
            <w:r w:rsidRPr="00FA2E7C">
              <w:rPr>
                <w:rFonts w:ascii="Arial" w:hAnsi="Arial" w:cs="Arial"/>
                <w:highlight w:val="green"/>
              </w:rPr>
              <w:t>84.61%</w:t>
            </w:r>
            <w:r w:rsidRPr="00FA2E7C">
              <w:rPr>
                <w:rFonts w:ascii="Arial" w:hAnsi="Arial" w:cs="Arial"/>
              </w:rPr>
              <w:t xml:space="preserve"> of Diagnosis of Need were 'New to Boost' as of 30</w:t>
            </w:r>
            <w:r w:rsidRPr="00FA2E7C">
              <w:rPr>
                <w:rFonts w:ascii="Arial" w:hAnsi="Arial" w:cs="Arial"/>
                <w:vertAlign w:val="superscript"/>
              </w:rPr>
              <w:t>th</w:t>
            </w:r>
            <w:r w:rsidRPr="00FA2E7C">
              <w:rPr>
                <w:rFonts w:ascii="Arial" w:hAnsi="Arial" w:cs="Arial"/>
              </w:rPr>
              <w:t xml:space="preserve"> June 2020.</w:t>
            </w:r>
          </w:p>
        </w:tc>
        <w:tc>
          <w:tcPr>
            <w:tcW w:w="709" w:type="dxa"/>
            <w:shd w:val="clear" w:color="auto" w:fill="538135" w:themeFill="accent6" w:themeFillShade="BF"/>
          </w:tcPr>
          <w:p w:rsidR="00E06969" w:rsidRPr="00FA2E7C" w:rsidRDefault="000D2D68" w:rsidP="00513D5F">
            <w:pPr>
              <w:pStyle w:val="NoSpacing"/>
              <w:jc w:val="both"/>
              <w:rPr>
                <w:rFonts w:ascii="Arial" w:hAnsi="Arial" w:cs="Arial"/>
              </w:rPr>
            </w:pPr>
          </w:p>
        </w:tc>
      </w:tr>
      <w:tr w:rsidR="00E54331" w:rsidTr="0072404F">
        <w:tc>
          <w:tcPr>
            <w:tcW w:w="2366" w:type="dxa"/>
          </w:tcPr>
          <w:p w:rsidR="00E06969" w:rsidRPr="00FA2E7C" w:rsidRDefault="000D2D68" w:rsidP="0072404F">
            <w:pPr>
              <w:pStyle w:val="NoSpacing"/>
              <w:rPr>
                <w:rFonts w:ascii="Arial" w:hAnsi="Arial" w:cs="Arial"/>
              </w:rPr>
            </w:pPr>
            <w:r w:rsidRPr="00FA2E7C">
              <w:rPr>
                <w:rFonts w:ascii="Arial" w:hAnsi="Arial" w:cs="Arial"/>
              </w:rPr>
              <w:t>(P13) Number of enterprises receiving information, diagnostic and brokerage support.</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705</w:t>
            </w:r>
          </w:p>
        </w:tc>
        <w:tc>
          <w:tcPr>
            <w:tcW w:w="1232" w:type="dxa"/>
          </w:tcPr>
          <w:p w:rsidR="00E06969" w:rsidRPr="00FA2E7C" w:rsidRDefault="000D2D68" w:rsidP="00513D5F">
            <w:pPr>
              <w:pStyle w:val="NoSpacing"/>
              <w:jc w:val="both"/>
              <w:rPr>
                <w:rFonts w:ascii="Arial" w:hAnsi="Arial" w:cs="Arial"/>
              </w:rPr>
            </w:pPr>
            <w:r w:rsidRPr="00FA2E7C">
              <w:rPr>
                <w:rFonts w:ascii="Arial" w:hAnsi="Arial" w:cs="Arial"/>
              </w:rPr>
              <w:t>701</w:t>
            </w:r>
          </w:p>
          <w:p w:rsidR="00E06969" w:rsidRPr="00FA2E7C" w:rsidRDefault="000D2D68" w:rsidP="00513D5F">
            <w:pPr>
              <w:pStyle w:val="NoSpacing"/>
              <w:jc w:val="both"/>
              <w:rPr>
                <w:rFonts w:ascii="Arial" w:hAnsi="Arial" w:cs="Arial"/>
              </w:rPr>
            </w:pPr>
            <w:r w:rsidRPr="00FA2E7C">
              <w:rPr>
                <w:rFonts w:ascii="Arial" w:hAnsi="Arial" w:cs="Arial"/>
                <w:highlight w:val="green"/>
              </w:rPr>
              <w:t>99.43%</w:t>
            </w:r>
          </w:p>
          <w:p w:rsidR="00E06969" w:rsidRPr="00FA2E7C" w:rsidRDefault="000D2D68" w:rsidP="00513D5F">
            <w:pPr>
              <w:pStyle w:val="NoSpacing"/>
              <w:jc w:val="both"/>
              <w:rPr>
                <w:rFonts w:ascii="Arial" w:hAnsi="Arial" w:cs="Arial"/>
              </w:rPr>
            </w:pPr>
          </w:p>
        </w:tc>
        <w:tc>
          <w:tcPr>
            <w:tcW w:w="4297" w:type="dxa"/>
          </w:tcPr>
          <w:p w:rsidR="00E06969" w:rsidRPr="00FA2E7C" w:rsidRDefault="000D2D68" w:rsidP="0072404F">
            <w:pPr>
              <w:pStyle w:val="NoSpacing"/>
              <w:rPr>
                <w:rFonts w:ascii="Arial" w:hAnsi="Arial" w:cs="Arial"/>
              </w:rPr>
            </w:pPr>
            <w:r w:rsidRPr="00FA2E7C">
              <w:rPr>
                <w:rFonts w:ascii="Arial" w:hAnsi="Arial" w:cs="Arial"/>
              </w:rPr>
              <w:t xml:space="preserve">Our </w:t>
            </w:r>
            <w:r w:rsidRPr="00FA2E7C">
              <w:rPr>
                <w:rFonts w:ascii="Arial" w:hAnsi="Arial" w:cs="Arial"/>
                <w:b/>
              </w:rPr>
              <w:t>#AskForHelp</w:t>
            </w:r>
            <w:r w:rsidRPr="00FA2E7C">
              <w:rPr>
                <w:rFonts w:ascii="Arial" w:hAnsi="Arial" w:cs="Arial"/>
              </w:rPr>
              <w:t xml:space="preserve"> campaign, launched on day one of the lockdown has already assisted more t</w:t>
            </w:r>
            <w:r w:rsidRPr="00FA2E7C">
              <w:rPr>
                <w:rFonts w:ascii="Arial" w:hAnsi="Arial" w:cs="Arial"/>
              </w:rPr>
              <w:t>han 5000 Lancashire businesses.</w:t>
            </w:r>
          </w:p>
        </w:tc>
        <w:tc>
          <w:tcPr>
            <w:tcW w:w="709" w:type="dxa"/>
            <w:shd w:val="clear" w:color="auto" w:fill="538135" w:themeFill="accent6" w:themeFillShade="BF"/>
          </w:tcPr>
          <w:p w:rsidR="00E06969" w:rsidRPr="00FA2E7C" w:rsidRDefault="000D2D68" w:rsidP="00513D5F">
            <w:pPr>
              <w:pStyle w:val="NoSpacing"/>
              <w:jc w:val="both"/>
              <w:rPr>
                <w:rFonts w:ascii="Arial" w:hAnsi="Arial" w:cs="Arial"/>
              </w:rPr>
            </w:pPr>
          </w:p>
        </w:tc>
      </w:tr>
      <w:tr w:rsidR="00E54331" w:rsidTr="0072404F">
        <w:tc>
          <w:tcPr>
            <w:tcW w:w="2366" w:type="dxa"/>
          </w:tcPr>
          <w:p w:rsidR="00E06969" w:rsidRPr="00FA2E7C" w:rsidRDefault="000D2D68" w:rsidP="0072404F">
            <w:pPr>
              <w:pStyle w:val="NoSpacing"/>
              <w:rPr>
                <w:rFonts w:ascii="Arial" w:hAnsi="Arial" w:cs="Arial"/>
              </w:rPr>
            </w:pPr>
            <w:r w:rsidRPr="00FA2E7C">
              <w:rPr>
                <w:rFonts w:ascii="Arial" w:hAnsi="Arial" w:cs="Arial"/>
              </w:rPr>
              <w:t>(C5) Number of new enterprises supported.</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135</w:t>
            </w:r>
          </w:p>
        </w:tc>
        <w:tc>
          <w:tcPr>
            <w:tcW w:w="1232" w:type="dxa"/>
          </w:tcPr>
          <w:p w:rsidR="00E06969" w:rsidRPr="00FA2E7C" w:rsidRDefault="000D2D68" w:rsidP="00513D5F">
            <w:pPr>
              <w:pStyle w:val="NoSpacing"/>
              <w:jc w:val="both"/>
              <w:rPr>
                <w:rFonts w:ascii="Arial" w:hAnsi="Arial" w:cs="Arial"/>
              </w:rPr>
            </w:pPr>
            <w:r w:rsidRPr="00FA2E7C">
              <w:rPr>
                <w:rFonts w:ascii="Arial" w:hAnsi="Arial" w:cs="Arial"/>
              </w:rPr>
              <w:t>127</w:t>
            </w:r>
          </w:p>
          <w:p w:rsidR="00E06969" w:rsidRPr="00FA2E7C" w:rsidRDefault="000D2D68" w:rsidP="00513D5F">
            <w:pPr>
              <w:pStyle w:val="NoSpacing"/>
              <w:jc w:val="both"/>
              <w:rPr>
                <w:rFonts w:ascii="Arial" w:hAnsi="Arial" w:cs="Arial"/>
              </w:rPr>
            </w:pPr>
            <w:r w:rsidRPr="00FA2E7C">
              <w:rPr>
                <w:rFonts w:ascii="Arial" w:hAnsi="Arial" w:cs="Arial"/>
                <w:highlight w:val="green"/>
              </w:rPr>
              <w:t>94.07%</w:t>
            </w:r>
          </w:p>
          <w:p w:rsidR="00E06969" w:rsidRPr="00FA2E7C" w:rsidRDefault="000D2D68" w:rsidP="00513D5F">
            <w:pPr>
              <w:pStyle w:val="NoSpacing"/>
              <w:jc w:val="both"/>
              <w:rPr>
                <w:rFonts w:ascii="Arial" w:hAnsi="Arial" w:cs="Arial"/>
              </w:rPr>
            </w:pPr>
          </w:p>
        </w:tc>
        <w:tc>
          <w:tcPr>
            <w:tcW w:w="4297" w:type="dxa"/>
          </w:tcPr>
          <w:p w:rsidR="00E06969" w:rsidRPr="00FA2E7C" w:rsidRDefault="000D2D68" w:rsidP="0072404F">
            <w:pPr>
              <w:pStyle w:val="NoSpacing"/>
              <w:rPr>
                <w:rFonts w:ascii="Arial" w:hAnsi="Arial" w:cs="Arial"/>
              </w:rPr>
            </w:pPr>
            <w:r w:rsidRPr="00FA2E7C">
              <w:rPr>
                <w:rFonts w:ascii="Arial" w:hAnsi="Arial" w:cs="Arial"/>
              </w:rPr>
              <w:t>Please note that C5 is one of the primary indicator for MHCLG. Stats cover the lockdown period.</w:t>
            </w:r>
          </w:p>
        </w:tc>
        <w:tc>
          <w:tcPr>
            <w:tcW w:w="709" w:type="dxa"/>
            <w:shd w:val="clear" w:color="auto" w:fill="538135" w:themeFill="accent6" w:themeFillShade="BF"/>
          </w:tcPr>
          <w:p w:rsidR="00E06969" w:rsidRPr="00FA2E7C" w:rsidRDefault="000D2D68" w:rsidP="00513D5F">
            <w:pPr>
              <w:pStyle w:val="NoSpacing"/>
              <w:jc w:val="both"/>
              <w:rPr>
                <w:rFonts w:ascii="Arial" w:hAnsi="Arial" w:cs="Arial"/>
              </w:rPr>
            </w:pPr>
          </w:p>
        </w:tc>
      </w:tr>
      <w:tr w:rsidR="00E54331" w:rsidTr="0072404F">
        <w:tc>
          <w:tcPr>
            <w:tcW w:w="2366" w:type="dxa"/>
          </w:tcPr>
          <w:p w:rsidR="00E06969" w:rsidRPr="00FA2E7C" w:rsidRDefault="000D2D68" w:rsidP="0072404F">
            <w:pPr>
              <w:pStyle w:val="NoSpacing"/>
              <w:rPr>
                <w:rFonts w:ascii="Arial" w:hAnsi="Arial" w:cs="Arial"/>
              </w:rPr>
            </w:pPr>
            <w:r w:rsidRPr="00FA2E7C">
              <w:rPr>
                <w:rFonts w:ascii="Arial" w:hAnsi="Arial" w:cs="Arial"/>
              </w:rPr>
              <w:t>Boost referrals to wider business support agencies.</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375</w:t>
            </w:r>
          </w:p>
        </w:tc>
        <w:tc>
          <w:tcPr>
            <w:tcW w:w="1232" w:type="dxa"/>
          </w:tcPr>
          <w:p w:rsidR="00E06969" w:rsidRPr="00FA2E7C" w:rsidRDefault="000D2D68" w:rsidP="00513D5F">
            <w:pPr>
              <w:pStyle w:val="NoSpacing"/>
              <w:jc w:val="both"/>
              <w:rPr>
                <w:rFonts w:ascii="Arial" w:hAnsi="Arial" w:cs="Arial"/>
              </w:rPr>
            </w:pPr>
            <w:r w:rsidRPr="00FA2E7C">
              <w:rPr>
                <w:rFonts w:ascii="Arial" w:hAnsi="Arial" w:cs="Arial"/>
              </w:rPr>
              <w:t>1225</w:t>
            </w:r>
          </w:p>
          <w:p w:rsidR="00E06969" w:rsidRPr="00FA2E7C" w:rsidRDefault="000D2D68" w:rsidP="00B4339F">
            <w:pPr>
              <w:pStyle w:val="NoSpacing"/>
              <w:jc w:val="both"/>
              <w:rPr>
                <w:rFonts w:ascii="Arial" w:hAnsi="Arial" w:cs="Arial"/>
              </w:rPr>
            </w:pPr>
            <w:r w:rsidRPr="00FA2E7C">
              <w:rPr>
                <w:rFonts w:ascii="Arial" w:hAnsi="Arial" w:cs="Arial"/>
                <w:highlight w:val="green"/>
              </w:rPr>
              <w:t>326%</w:t>
            </w:r>
          </w:p>
        </w:tc>
        <w:tc>
          <w:tcPr>
            <w:tcW w:w="4297" w:type="dxa"/>
          </w:tcPr>
          <w:p w:rsidR="00E06969" w:rsidRPr="00FA2E7C" w:rsidRDefault="000D2D68" w:rsidP="0072404F">
            <w:pPr>
              <w:pStyle w:val="NoSpacing"/>
              <w:rPr>
                <w:rFonts w:ascii="Arial" w:hAnsi="Arial" w:cs="Arial"/>
              </w:rPr>
            </w:pPr>
            <w:r w:rsidRPr="00FA2E7C">
              <w:rPr>
                <w:rFonts w:ascii="Arial" w:hAnsi="Arial" w:cs="Arial"/>
              </w:rPr>
              <w:t>One of the core objectives of Boost is to connect businesses to the best support available from the private and public sectors.</w:t>
            </w:r>
          </w:p>
        </w:tc>
        <w:tc>
          <w:tcPr>
            <w:tcW w:w="709" w:type="dxa"/>
            <w:shd w:val="clear" w:color="auto" w:fill="538135" w:themeFill="accent6" w:themeFillShade="BF"/>
          </w:tcPr>
          <w:p w:rsidR="00E06969" w:rsidRPr="00FA2E7C" w:rsidRDefault="000D2D68" w:rsidP="00513D5F">
            <w:pPr>
              <w:pStyle w:val="NoSpacing"/>
              <w:jc w:val="both"/>
              <w:rPr>
                <w:rFonts w:ascii="Arial" w:hAnsi="Arial" w:cs="Arial"/>
              </w:rPr>
            </w:pPr>
          </w:p>
        </w:tc>
      </w:tr>
      <w:tr w:rsidR="00E54331" w:rsidTr="0072404F">
        <w:tc>
          <w:tcPr>
            <w:tcW w:w="2366" w:type="dxa"/>
          </w:tcPr>
          <w:p w:rsidR="00E06969" w:rsidRPr="00FA2E7C" w:rsidRDefault="000D2D68" w:rsidP="0072404F">
            <w:pPr>
              <w:pStyle w:val="NoSpacing"/>
              <w:rPr>
                <w:rFonts w:ascii="Arial" w:hAnsi="Arial" w:cs="Arial"/>
              </w:rPr>
            </w:pPr>
            <w:r w:rsidRPr="00FA2E7C">
              <w:rPr>
                <w:rFonts w:ascii="Arial" w:hAnsi="Arial" w:cs="Arial"/>
              </w:rPr>
              <w:t>(P11) Number of potential entrepreneurs assisted to be enterprise ready.</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181*</w:t>
            </w:r>
          </w:p>
        </w:tc>
        <w:tc>
          <w:tcPr>
            <w:tcW w:w="1232" w:type="dxa"/>
          </w:tcPr>
          <w:p w:rsidR="00E06969" w:rsidRPr="00FA2E7C" w:rsidRDefault="000D2D68" w:rsidP="00513D5F">
            <w:pPr>
              <w:pStyle w:val="NoSpacing"/>
              <w:jc w:val="both"/>
              <w:rPr>
                <w:rFonts w:ascii="Arial" w:hAnsi="Arial" w:cs="Arial"/>
              </w:rPr>
            </w:pPr>
            <w:r w:rsidRPr="00FA2E7C">
              <w:rPr>
                <w:rFonts w:ascii="Arial" w:hAnsi="Arial" w:cs="Arial"/>
              </w:rPr>
              <w:t>176</w:t>
            </w:r>
          </w:p>
          <w:p w:rsidR="00E06969" w:rsidRPr="00FA2E7C" w:rsidRDefault="000D2D68" w:rsidP="00B4339F">
            <w:pPr>
              <w:pStyle w:val="NoSpacing"/>
              <w:jc w:val="both"/>
              <w:rPr>
                <w:rFonts w:ascii="Arial" w:hAnsi="Arial" w:cs="Arial"/>
              </w:rPr>
            </w:pPr>
            <w:r w:rsidRPr="00FA2E7C">
              <w:rPr>
                <w:rFonts w:ascii="Arial" w:hAnsi="Arial" w:cs="Arial"/>
                <w:highlight w:val="green"/>
              </w:rPr>
              <w:t>97.23%</w:t>
            </w:r>
          </w:p>
        </w:tc>
        <w:tc>
          <w:tcPr>
            <w:tcW w:w="4297" w:type="dxa"/>
          </w:tcPr>
          <w:p w:rsidR="00E06969" w:rsidRPr="00FA2E7C" w:rsidRDefault="000D2D68" w:rsidP="0072404F">
            <w:pPr>
              <w:pStyle w:val="NoSpacing"/>
              <w:rPr>
                <w:rFonts w:ascii="Arial" w:hAnsi="Arial" w:cs="Arial"/>
              </w:rPr>
            </w:pPr>
            <w:r w:rsidRPr="00FA2E7C">
              <w:rPr>
                <w:rFonts w:ascii="Arial" w:hAnsi="Arial" w:cs="Arial"/>
              </w:rPr>
              <w:t xml:space="preserve">*As per Growth Support Programme </w:t>
            </w:r>
            <w:r w:rsidRPr="00FA2E7C">
              <w:rPr>
                <w:rFonts w:ascii="Arial" w:hAnsi="Arial" w:cs="Arial"/>
              </w:rPr>
              <w:t>October 2019 profile submitted to LCC</w:t>
            </w:r>
          </w:p>
        </w:tc>
        <w:tc>
          <w:tcPr>
            <w:tcW w:w="709" w:type="dxa"/>
            <w:shd w:val="clear" w:color="auto" w:fill="538135" w:themeFill="accent6" w:themeFillShade="BF"/>
          </w:tcPr>
          <w:p w:rsidR="00E06969" w:rsidRPr="00FA2E7C" w:rsidRDefault="000D2D68" w:rsidP="00513D5F">
            <w:pPr>
              <w:pStyle w:val="NoSpacing"/>
              <w:jc w:val="both"/>
              <w:rPr>
                <w:rFonts w:ascii="Arial" w:hAnsi="Arial" w:cs="Arial"/>
              </w:rPr>
            </w:pPr>
          </w:p>
        </w:tc>
      </w:tr>
      <w:tr w:rsidR="00E54331" w:rsidTr="00B4339F">
        <w:tc>
          <w:tcPr>
            <w:tcW w:w="2366" w:type="dxa"/>
          </w:tcPr>
          <w:p w:rsidR="00E06969" w:rsidRPr="00FA2E7C" w:rsidRDefault="000D2D68" w:rsidP="0072404F">
            <w:pPr>
              <w:pStyle w:val="NoSpacing"/>
              <w:rPr>
                <w:rFonts w:ascii="Arial" w:hAnsi="Arial" w:cs="Arial"/>
              </w:rPr>
            </w:pPr>
            <w:r w:rsidRPr="00FA2E7C">
              <w:rPr>
                <w:rFonts w:ascii="Arial" w:hAnsi="Arial" w:cs="Arial"/>
              </w:rPr>
              <w:t xml:space="preserve">(C1) Number of </w:t>
            </w:r>
            <w:r>
              <w:rPr>
                <w:rFonts w:ascii="Arial" w:hAnsi="Arial" w:cs="Arial"/>
              </w:rPr>
              <w:t xml:space="preserve">  </w:t>
            </w:r>
            <w:r w:rsidRPr="00FA2E7C">
              <w:rPr>
                <w:rFonts w:ascii="Arial" w:hAnsi="Arial" w:cs="Arial"/>
              </w:rPr>
              <w:t xml:space="preserve">enterprises </w:t>
            </w:r>
            <w:r w:rsidRPr="000674D6">
              <w:rPr>
                <w:rFonts w:ascii="Arial" w:hAnsi="Arial" w:cs="Arial"/>
              </w:rPr>
              <w:t>receiving support (12 Hours or more).</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660</w:t>
            </w:r>
          </w:p>
        </w:tc>
        <w:tc>
          <w:tcPr>
            <w:tcW w:w="1232" w:type="dxa"/>
            <w:shd w:val="clear" w:color="auto" w:fill="FFFFFF" w:themeFill="background1"/>
          </w:tcPr>
          <w:p w:rsidR="00E06969" w:rsidRPr="00B4339F" w:rsidRDefault="000D2D68" w:rsidP="00513D5F">
            <w:pPr>
              <w:pStyle w:val="NoSpacing"/>
              <w:jc w:val="both"/>
              <w:rPr>
                <w:rFonts w:ascii="Arial" w:hAnsi="Arial" w:cs="Arial"/>
              </w:rPr>
            </w:pPr>
            <w:r w:rsidRPr="00B4339F">
              <w:rPr>
                <w:rFonts w:ascii="Arial" w:hAnsi="Arial" w:cs="Arial"/>
              </w:rPr>
              <w:t>501</w:t>
            </w:r>
          </w:p>
          <w:p w:rsidR="00E06969" w:rsidRPr="00B4339F" w:rsidRDefault="000D2D68" w:rsidP="00B4339F">
            <w:pPr>
              <w:pStyle w:val="NoSpacing"/>
              <w:jc w:val="both"/>
              <w:rPr>
                <w:rFonts w:ascii="Arial" w:hAnsi="Arial" w:cs="Arial"/>
              </w:rPr>
            </w:pPr>
            <w:r w:rsidRPr="00B4339F">
              <w:rPr>
                <w:rFonts w:ascii="Arial" w:hAnsi="Arial" w:cs="Arial"/>
                <w:shd w:val="clear" w:color="auto" w:fill="FF9933"/>
              </w:rPr>
              <w:t>75.9%</w:t>
            </w:r>
          </w:p>
        </w:tc>
        <w:tc>
          <w:tcPr>
            <w:tcW w:w="4297" w:type="dxa"/>
          </w:tcPr>
          <w:p w:rsidR="00E06969" w:rsidRPr="00FA2E7C" w:rsidRDefault="000D2D68" w:rsidP="0072404F">
            <w:pPr>
              <w:pStyle w:val="NoSpacing"/>
              <w:rPr>
                <w:rFonts w:ascii="Arial" w:hAnsi="Arial" w:cs="Arial"/>
              </w:rPr>
            </w:pPr>
            <w:r w:rsidRPr="00FA2E7C">
              <w:rPr>
                <w:rFonts w:ascii="Arial" w:hAnsi="Arial" w:cs="Arial"/>
              </w:rPr>
              <w:t>Client engagement has been difficult during the lockdown period.</w:t>
            </w:r>
          </w:p>
          <w:p w:rsidR="00E06969" w:rsidRPr="00FA2E7C" w:rsidRDefault="000D2D68" w:rsidP="0072404F">
            <w:pPr>
              <w:pStyle w:val="NoSpacing"/>
              <w:rPr>
                <w:rFonts w:ascii="Arial" w:hAnsi="Arial" w:cs="Arial"/>
              </w:rPr>
            </w:pPr>
            <w:r w:rsidRPr="00FA2E7C">
              <w:rPr>
                <w:rFonts w:ascii="Arial" w:hAnsi="Arial" w:cs="Arial"/>
              </w:rPr>
              <w:t>Underperformance of the Growth Support Programme.</w:t>
            </w:r>
          </w:p>
          <w:p w:rsidR="00E06969" w:rsidRPr="00FA2E7C" w:rsidRDefault="000D2D68" w:rsidP="0072404F">
            <w:pPr>
              <w:pStyle w:val="NoSpacing"/>
              <w:rPr>
                <w:rFonts w:ascii="Arial" w:hAnsi="Arial" w:cs="Arial"/>
              </w:rPr>
            </w:pPr>
            <w:r w:rsidRPr="00FA2E7C">
              <w:rPr>
                <w:rFonts w:ascii="Arial" w:hAnsi="Arial" w:cs="Arial"/>
              </w:rPr>
              <w:t xml:space="preserve">All programmes have </w:t>
            </w:r>
            <w:r w:rsidRPr="00FA2E7C">
              <w:rPr>
                <w:rFonts w:ascii="Arial" w:hAnsi="Arial" w:cs="Arial"/>
              </w:rPr>
              <w:t>healthy pipelines for Aug &amp; September.</w:t>
            </w:r>
          </w:p>
          <w:p w:rsidR="00E06969" w:rsidRPr="00FA2E7C" w:rsidRDefault="000D2D68" w:rsidP="0072404F">
            <w:pPr>
              <w:pStyle w:val="NoSpacing"/>
              <w:rPr>
                <w:rFonts w:ascii="Arial" w:hAnsi="Arial" w:cs="Arial"/>
              </w:rPr>
            </w:pPr>
            <w:r w:rsidRPr="00FA2E7C">
              <w:rPr>
                <w:rFonts w:ascii="Arial" w:hAnsi="Arial" w:cs="Arial"/>
              </w:rPr>
              <w:t xml:space="preserve">The month of April saw an "unprecedented collapse" in business activity across the </w:t>
            </w:r>
            <w:hyperlink r:id="rId8" w:history="1">
              <w:r w:rsidRPr="00FA2E7C">
                <w:rPr>
                  <w:rStyle w:val="Hyperlink"/>
                  <w:rFonts w:ascii="Arial" w:hAnsi="Arial" w:cs="Arial"/>
                  <w:bCs/>
                  <w:color w:val="auto"/>
                </w:rPr>
                <w:t>North West</w:t>
              </w:r>
            </w:hyperlink>
            <w:r w:rsidRPr="00FA2E7C">
              <w:rPr>
                <w:rFonts w:ascii="Arial" w:hAnsi="Arial" w:cs="Arial"/>
              </w:rPr>
              <w:t xml:space="preserve"> amid continued </w:t>
            </w:r>
            <w:r w:rsidRPr="00FA2E7C">
              <w:rPr>
                <w:rFonts w:ascii="Arial" w:hAnsi="Arial" w:cs="Arial"/>
              </w:rPr>
              <w:lastRenderedPageBreak/>
              <w:t xml:space="preserve">Covid-19 disruption, the latest </w:t>
            </w:r>
            <w:hyperlink r:id="rId9" w:history="1">
              <w:r w:rsidRPr="00FA2E7C">
                <w:rPr>
                  <w:rStyle w:val="Hyperlink"/>
                  <w:rFonts w:ascii="Arial" w:hAnsi="Arial" w:cs="Arial"/>
                  <w:bCs/>
                  <w:color w:val="auto"/>
                </w:rPr>
                <w:t>NatWest</w:t>
              </w:r>
            </w:hyperlink>
            <w:r w:rsidRPr="00FA2E7C">
              <w:rPr>
                <w:rFonts w:ascii="Arial" w:hAnsi="Arial" w:cs="Arial"/>
              </w:rPr>
              <w:t xml:space="preserve"> PMI has shown.</w:t>
            </w:r>
          </w:p>
          <w:p w:rsidR="00E06969" w:rsidRPr="00FA2E7C" w:rsidRDefault="000D2D68" w:rsidP="0072404F">
            <w:pPr>
              <w:pStyle w:val="NoSpacing"/>
              <w:rPr>
                <w:rFonts w:ascii="Arial" w:hAnsi="Arial" w:cs="Arial"/>
              </w:rPr>
            </w:pPr>
            <w:r w:rsidRPr="00FA2E7C">
              <w:rPr>
                <w:rFonts w:ascii="Arial" w:hAnsi="Arial" w:cs="Arial"/>
              </w:rPr>
              <w:t>The latest NatWest Regional PMI report, which tracks changes in the goods and services sector, showed that employment in the region fell at the fastest rate on record, with a</w:t>
            </w:r>
            <w:r w:rsidRPr="00FA2E7C">
              <w:rPr>
                <w:rFonts w:ascii="Arial" w:hAnsi="Arial" w:cs="Arial"/>
              </w:rPr>
              <w:t xml:space="preserve"> squeeze on export opportunities resulting in a sharp drop in demand for goods and services.</w:t>
            </w:r>
          </w:p>
          <w:p w:rsidR="00E06969" w:rsidRPr="00FA2E7C" w:rsidRDefault="000D2D68" w:rsidP="0072404F">
            <w:pPr>
              <w:pStyle w:val="NoSpacing"/>
              <w:rPr>
                <w:rFonts w:ascii="Arial" w:hAnsi="Arial" w:cs="Arial"/>
              </w:rPr>
            </w:pPr>
          </w:p>
        </w:tc>
        <w:tc>
          <w:tcPr>
            <w:tcW w:w="709" w:type="dxa"/>
            <w:shd w:val="clear" w:color="auto" w:fill="FF9900"/>
          </w:tcPr>
          <w:p w:rsidR="00E06969" w:rsidRPr="00FA2E7C" w:rsidRDefault="000D2D68" w:rsidP="00513D5F">
            <w:pPr>
              <w:pStyle w:val="NoSpacing"/>
              <w:jc w:val="both"/>
              <w:rPr>
                <w:rFonts w:ascii="Arial" w:hAnsi="Arial" w:cs="Arial"/>
              </w:rPr>
            </w:pPr>
          </w:p>
        </w:tc>
      </w:tr>
      <w:tr w:rsidR="00E54331" w:rsidTr="0072404F">
        <w:tc>
          <w:tcPr>
            <w:tcW w:w="2366" w:type="dxa"/>
          </w:tcPr>
          <w:p w:rsidR="00E06969" w:rsidRPr="00FA2E7C" w:rsidRDefault="000D2D68" w:rsidP="0072404F">
            <w:pPr>
              <w:pStyle w:val="NoSpacing"/>
              <w:rPr>
                <w:rFonts w:ascii="Arial" w:hAnsi="Arial" w:cs="Arial"/>
              </w:rPr>
            </w:pPr>
            <w:r w:rsidRPr="00FA2E7C">
              <w:rPr>
                <w:rFonts w:ascii="Arial" w:hAnsi="Arial" w:cs="Arial"/>
              </w:rPr>
              <w:t>(C8) Employment increase in supported enterprises.</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440</w:t>
            </w:r>
          </w:p>
        </w:tc>
        <w:tc>
          <w:tcPr>
            <w:tcW w:w="1232" w:type="dxa"/>
          </w:tcPr>
          <w:p w:rsidR="00E06969" w:rsidRPr="00FA2E7C" w:rsidRDefault="000D2D68" w:rsidP="00513D5F">
            <w:pPr>
              <w:pStyle w:val="NoSpacing"/>
              <w:jc w:val="both"/>
              <w:rPr>
                <w:rFonts w:ascii="Arial" w:hAnsi="Arial" w:cs="Arial"/>
              </w:rPr>
            </w:pPr>
            <w:r w:rsidRPr="00FA2E7C">
              <w:rPr>
                <w:rFonts w:ascii="Arial" w:hAnsi="Arial" w:cs="Arial"/>
              </w:rPr>
              <w:t>567.51</w:t>
            </w:r>
          </w:p>
          <w:p w:rsidR="00E06969" w:rsidRPr="00FA2E7C" w:rsidRDefault="000D2D68" w:rsidP="00513D5F">
            <w:pPr>
              <w:pStyle w:val="NoSpacing"/>
              <w:jc w:val="both"/>
              <w:rPr>
                <w:rFonts w:ascii="Arial" w:hAnsi="Arial" w:cs="Arial"/>
              </w:rPr>
            </w:pPr>
            <w:r>
              <w:rPr>
                <w:rFonts w:ascii="Arial" w:hAnsi="Arial" w:cs="Arial"/>
                <w:highlight w:val="green"/>
              </w:rPr>
              <w:t>128.98%</w:t>
            </w:r>
          </w:p>
        </w:tc>
        <w:tc>
          <w:tcPr>
            <w:tcW w:w="4297" w:type="dxa"/>
          </w:tcPr>
          <w:p w:rsidR="00E06969" w:rsidRPr="00FA2E7C" w:rsidRDefault="000D2D68" w:rsidP="0072404F">
            <w:pPr>
              <w:pStyle w:val="NoSpacing"/>
              <w:jc w:val="both"/>
              <w:rPr>
                <w:rFonts w:ascii="Arial" w:hAnsi="Arial" w:cs="Arial"/>
              </w:rPr>
            </w:pPr>
            <w:r w:rsidRPr="00FA2E7C">
              <w:rPr>
                <w:rFonts w:ascii="Arial" w:hAnsi="Arial" w:cs="Arial"/>
              </w:rPr>
              <w:t xml:space="preserve">This is in spite of the fact that according the latest NatWest Regional PMI report, which </w:t>
            </w:r>
            <w:r w:rsidRPr="00FA2E7C">
              <w:rPr>
                <w:rFonts w:ascii="Arial" w:hAnsi="Arial" w:cs="Arial"/>
              </w:rPr>
              <w:t xml:space="preserve">tracks changes in the goods and services sector, </w:t>
            </w:r>
            <w:r w:rsidRPr="00FA2E7C">
              <w:rPr>
                <w:rFonts w:ascii="Arial" w:hAnsi="Arial" w:cs="Arial"/>
                <w:highlight w:val="yellow"/>
              </w:rPr>
              <w:t>showed that employment in the region fell at the fastest rate on record,</w:t>
            </w:r>
            <w:r w:rsidRPr="00FA2E7C">
              <w:rPr>
                <w:rFonts w:ascii="Arial" w:hAnsi="Arial" w:cs="Arial"/>
              </w:rPr>
              <w:t xml:space="preserve"> with a squeeze on export opportunities resulting in a sharp drop in demand for goods and services.</w:t>
            </w:r>
          </w:p>
        </w:tc>
        <w:tc>
          <w:tcPr>
            <w:tcW w:w="709" w:type="dxa"/>
            <w:shd w:val="clear" w:color="auto" w:fill="538135" w:themeFill="accent6" w:themeFillShade="BF"/>
          </w:tcPr>
          <w:p w:rsidR="00E06969" w:rsidRPr="00FA2E7C" w:rsidRDefault="000D2D68" w:rsidP="00513D5F">
            <w:pPr>
              <w:pStyle w:val="NoSpacing"/>
              <w:jc w:val="both"/>
              <w:rPr>
                <w:rFonts w:ascii="Arial" w:hAnsi="Arial" w:cs="Arial"/>
              </w:rPr>
            </w:pPr>
          </w:p>
        </w:tc>
      </w:tr>
      <w:tr w:rsidR="00E54331" w:rsidTr="00B4339F">
        <w:tc>
          <w:tcPr>
            <w:tcW w:w="2366" w:type="dxa"/>
          </w:tcPr>
          <w:p w:rsidR="00E06969" w:rsidRPr="00FA2E7C" w:rsidRDefault="000D2D68" w:rsidP="0072404F">
            <w:pPr>
              <w:pStyle w:val="NoSpacing"/>
              <w:rPr>
                <w:rFonts w:ascii="Arial" w:hAnsi="Arial" w:cs="Arial"/>
              </w:rPr>
            </w:pPr>
            <w:r w:rsidRPr="00FA2E7C">
              <w:rPr>
                <w:rFonts w:ascii="Arial" w:hAnsi="Arial" w:cs="Arial"/>
              </w:rPr>
              <w:t xml:space="preserve">(C28) Number of enterprises </w:t>
            </w:r>
            <w:r w:rsidRPr="00FA2E7C">
              <w:rPr>
                <w:rFonts w:ascii="Arial" w:hAnsi="Arial" w:cs="Arial"/>
              </w:rPr>
              <w:t>supported to introduce new to the market products.</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40</w:t>
            </w:r>
          </w:p>
        </w:tc>
        <w:tc>
          <w:tcPr>
            <w:tcW w:w="1232" w:type="dxa"/>
            <w:shd w:val="clear" w:color="auto" w:fill="FFFFFF" w:themeFill="background1"/>
          </w:tcPr>
          <w:p w:rsidR="00E06969" w:rsidRPr="00FA2E7C" w:rsidRDefault="000D2D68" w:rsidP="00513D5F">
            <w:pPr>
              <w:pStyle w:val="NoSpacing"/>
              <w:jc w:val="both"/>
              <w:rPr>
                <w:rFonts w:ascii="Arial" w:hAnsi="Arial" w:cs="Arial"/>
              </w:rPr>
            </w:pPr>
            <w:r w:rsidRPr="00FA2E7C">
              <w:rPr>
                <w:rFonts w:ascii="Arial" w:hAnsi="Arial" w:cs="Arial"/>
              </w:rPr>
              <w:t>06</w:t>
            </w:r>
          </w:p>
          <w:p w:rsidR="00E06969" w:rsidRPr="00FA2E7C" w:rsidRDefault="000D2D68" w:rsidP="00513D5F">
            <w:pPr>
              <w:pStyle w:val="NoSpacing"/>
              <w:jc w:val="both"/>
              <w:rPr>
                <w:rFonts w:ascii="Arial" w:hAnsi="Arial" w:cs="Arial"/>
              </w:rPr>
            </w:pPr>
            <w:r w:rsidRPr="00B4339F">
              <w:rPr>
                <w:rFonts w:ascii="Arial" w:hAnsi="Arial" w:cs="Arial"/>
                <w:highlight w:val="red"/>
              </w:rPr>
              <w:t>15%</w:t>
            </w:r>
          </w:p>
        </w:tc>
        <w:tc>
          <w:tcPr>
            <w:tcW w:w="4297" w:type="dxa"/>
          </w:tcPr>
          <w:p w:rsidR="00E06969" w:rsidRPr="00FA2E7C" w:rsidRDefault="000D2D68" w:rsidP="00513D5F">
            <w:pPr>
              <w:pStyle w:val="NoSpacing"/>
              <w:jc w:val="both"/>
              <w:rPr>
                <w:rFonts w:ascii="Arial" w:hAnsi="Arial" w:cs="Arial"/>
              </w:rPr>
            </w:pPr>
            <w:r w:rsidRPr="00FA2E7C">
              <w:rPr>
                <w:rFonts w:ascii="Arial" w:hAnsi="Arial" w:cs="Arial"/>
              </w:rPr>
              <w:t>This is one of the most complex and difficult target for all ERDF programmes.</w:t>
            </w:r>
          </w:p>
          <w:p w:rsidR="00E06969" w:rsidRPr="00FA2E7C" w:rsidRDefault="000D2D68" w:rsidP="00513D5F">
            <w:pPr>
              <w:pStyle w:val="NoSpacing"/>
              <w:jc w:val="both"/>
              <w:rPr>
                <w:rFonts w:ascii="Arial" w:hAnsi="Arial" w:cs="Arial"/>
              </w:rPr>
            </w:pPr>
            <w:r w:rsidRPr="00FA2E7C">
              <w:rPr>
                <w:rFonts w:ascii="Arial" w:hAnsi="Arial" w:cs="Arial"/>
              </w:rPr>
              <w:t>Core service providers are collaborating with other business support agencies.</w:t>
            </w:r>
          </w:p>
        </w:tc>
        <w:tc>
          <w:tcPr>
            <w:tcW w:w="709" w:type="dxa"/>
            <w:shd w:val="clear" w:color="auto" w:fill="FF0000"/>
          </w:tcPr>
          <w:p w:rsidR="00E06969" w:rsidRPr="00FA2E7C" w:rsidRDefault="000D2D68" w:rsidP="00513D5F">
            <w:pPr>
              <w:pStyle w:val="NoSpacing"/>
              <w:jc w:val="both"/>
              <w:rPr>
                <w:rFonts w:ascii="Arial" w:hAnsi="Arial" w:cs="Arial"/>
              </w:rPr>
            </w:pPr>
          </w:p>
        </w:tc>
      </w:tr>
      <w:tr w:rsidR="00E54331" w:rsidTr="00B4339F">
        <w:tc>
          <w:tcPr>
            <w:tcW w:w="2366" w:type="dxa"/>
          </w:tcPr>
          <w:p w:rsidR="00E06969" w:rsidRPr="00FA2E7C" w:rsidRDefault="000D2D68" w:rsidP="0072404F">
            <w:pPr>
              <w:pStyle w:val="NoSpacing"/>
              <w:rPr>
                <w:rFonts w:ascii="Arial" w:hAnsi="Arial" w:cs="Arial"/>
              </w:rPr>
            </w:pPr>
            <w:r w:rsidRPr="00FA2E7C">
              <w:rPr>
                <w:rFonts w:ascii="Arial" w:hAnsi="Arial" w:cs="Arial"/>
              </w:rPr>
              <w:t xml:space="preserve">(C29) Number of enterprises </w:t>
            </w:r>
            <w:r w:rsidRPr="00FA2E7C">
              <w:rPr>
                <w:rFonts w:ascii="Arial" w:hAnsi="Arial" w:cs="Arial"/>
              </w:rPr>
              <w:t>supported to introduce new to the firm products.</w:t>
            </w:r>
          </w:p>
        </w:tc>
        <w:tc>
          <w:tcPr>
            <w:tcW w:w="889" w:type="dxa"/>
          </w:tcPr>
          <w:p w:rsidR="00E06969" w:rsidRPr="00FA2E7C" w:rsidRDefault="000D2D68" w:rsidP="00513D5F">
            <w:pPr>
              <w:pStyle w:val="NoSpacing"/>
              <w:jc w:val="both"/>
              <w:rPr>
                <w:rFonts w:ascii="Arial" w:hAnsi="Arial" w:cs="Arial"/>
              </w:rPr>
            </w:pPr>
            <w:r w:rsidRPr="00FA2E7C">
              <w:rPr>
                <w:rFonts w:ascii="Arial" w:hAnsi="Arial" w:cs="Arial"/>
              </w:rPr>
              <w:t>35</w:t>
            </w:r>
          </w:p>
        </w:tc>
        <w:tc>
          <w:tcPr>
            <w:tcW w:w="1232" w:type="dxa"/>
            <w:shd w:val="clear" w:color="auto" w:fill="FFFFFF" w:themeFill="background1"/>
          </w:tcPr>
          <w:p w:rsidR="00E06969" w:rsidRPr="00FA2E7C" w:rsidRDefault="000D2D68" w:rsidP="00513D5F">
            <w:pPr>
              <w:pStyle w:val="NoSpacing"/>
              <w:jc w:val="both"/>
              <w:rPr>
                <w:rFonts w:ascii="Arial" w:hAnsi="Arial" w:cs="Arial"/>
              </w:rPr>
            </w:pPr>
            <w:r w:rsidRPr="00FA2E7C">
              <w:rPr>
                <w:rFonts w:ascii="Arial" w:hAnsi="Arial" w:cs="Arial"/>
              </w:rPr>
              <w:t>12</w:t>
            </w:r>
          </w:p>
          <w:p w:rsidR="00E06969" w:rsidRPr="00FA2E7C" w:rsidRDefault="000D2D68" w:rsidP="00513D5F">
            <w:pPr>
              <w:pStyle w:val="NoSpacing"/>
              <w:jc w:val="both"/>
              <w:rPr>
                <w:rFonts w:ascii="Arial" w:hAnsi="Arial" w:cs="Arial"/>
              </w:rPr>
            </w:pPr>
            <w:r w:rsidRPr="00B4339F">
              <w:rPr>
                <w:rFonts w:ascii="Arial" w:hAnsi="Arial" w:cs="Arial"/>
                <w:highlight w:val="red"/>
              </w:rPr>
              <w:t>34.29%</w:t>
            </w:r>
          </w:p>
        </w:tc>
        <w:tc>
          <w:tcPr>
            <w:tcW w:w="4297" w:type="dxa"/>
          </w:tcPr>
          <w:p w:rsidR="00E06969" w:rsidRPr="00FA2E7C" w:rsidRDefault="000D2D68" w:rsidP="007F4118">
            <w:pPr>
              <w:pStyle w:val="NoSpacing"/>
              <w:jc w:val="both"/>
              <w:rPr>
                <w:rFonts w:ascii="Arial" w:hAnsi="Arial" w:cs="Arial"/>
              </w:rPr>
            </w:pPr>
            <w:r w:rsidRPr="00FA2E7C">
              <w:rPr>
                <w:rFonts w:ascii="Arial" w:hAnsi="Arial" w:cs="Arial"/>
              </w:rPr>
              <w:t>This is one of the most complex and difficult target for all ERDF programmes.</w:t>
            </w:r>
          </w:p>
          <w:p w:rsidR="00E06969" w:rsidRPr="00FA2E7C" w:rsidRDefault="000D2D68" w:rsidP="007F4118">
            <w:pPr>
              <w:pStyle w:val="NoSpacing"/>
              <w:jc w:val="both"/>
              <w:rPr>
                <w:rFonts w:ascii="Arial" w:hAnsi="Arial" w:cs="Arial"/>
              </w:rPr>
            </w:pPr>
            <w:r w:rsidRPr="00FA2E7C">
              <w:rPr>
                <w:rFonts w:ascii="Arial" w:hAnsi="Arial" w:cs="Arial"/>
              </w:rPr>
              <w:t>Core service providers are collaborating with other business support agencies.</w:t>
            </w:r>
          </w:p>
        </w:tc>
        <w:tc>
          <w:tcPr>
            <w:tcW w:w="709" w:type="dxa"/>
            <w:shd w:val="clear" w:color="auto" w:fill="FF0000"/>
          </w:tcPr>
          <w:p w:rsidR="00E06969" w:rsidRPr="00FA2E7C" w:rsidRDefault="000D2D68" w:rsidP="00513D5F">
            <w:pPr>
              <w:pStyle w:val="NoSpacing"/>
              <w:jc w:val="both"/>
              <w:rPr>
                <w:rFonts w:ascii="Arial" w:hAnsi="Arial" w:cs="Arial"/>
              </w:rPr>
            </w:pPr>
          </w:p>
        </w:tc>
      </w:tr>
      <w:tr w:rsidR="00E54331" w:rsidTr="0072404F">
        <w:tc>
          <w:tcPr>
            <w:tcW w:w="2366" w:type="dxa"/>
          </w:tcPr>
          <w:p w:rsidR="00C341A8" w:rsidRPr="00FA2E7C" w:rsidRDefault="000D2D68" w:rsidP="0072404F">
            <w:pPr>
              <w:pStyle w:val="NoSpacing"/>
              <w:rPr>
                <w:rFonts w:ascii="Arial" w:hAnsi="Arial" w:cs="Arial"/>
              </w:rPr>
            </w:pPr>
            <w:r w:rsidRPr="00FA2E7C">
              <w:rPr>
                <w:rFonts w:ascii="Arial" w:hAnsi="Arial" w:cs="Arial"/>
              </w:rPr>
              <w:t xml:space="preserve">Unique website visits (since Jan 1 </w:t>
            </w:r>
            <w:r w:rsidRPr="00FA2E7C">
              <w:rPr>
                <w:rFonts w:ascii="Arial" w:hAnsi="Arial" w:cs="Arial"/>
              </w:rPr>
              <w:t>2019, includes Startup Lancashire).</w:t>
            </w:r>
          </w:p>
        </w:tc>
        <w:tc>
          <w:tcPr>
            <w:tcW w:w="889" w:type="dxa"/>
          </w:tcPr>
          <w:p w:rsidR="00C341A8" w:rsidRPr="00FA2E7C" w:rsidRDefault="000D2D68" w:rsidP="00513D5F">
            <w:pPr>
              <w:pStyle w:val="NoSpacing"/>
              <w:jc w:val="both"/>
              <w:rPr>
                <w:rFonts w:ascii="Arial" w:hAnsi="Arial" w:cs="Arial"/>
              </w:rPr>
            </w:pPr>
            <w:r w:rsidRPr="00FA2E7C">
              <w:rPr>
                <w:rFonts w:ascii="Arial" w:hAnsi="Arial" w:cs="Arial"/>
              </w:rPr>
              <w:t>7500</w:t>
            </w:r>
          </w:p>
        </w:tc>
        <w:tc>
          <w:tcPr>
            <w:tcW w:w="1232" w:type="dxa"/>
            <w:shd w:val="clear" w:color="auto" w:fill="auto"/>
          </w:tcPr>
          <w:p w:rsidR="00C341A8" w:rsidRPr="00FA2E7C" w:rsidRDefault="000D2D68" w:rsidP="00513D5F">
            <w:pPr>
              <w:pStyle w:val="NoSpacing"/>
              <w:jc w:val="both"/>
              <w:rPr>
                <w:rFonts w:ascii="Arial" w:hAnsi="Arial" w:cs="Arial"/>
              </w:rPr>
            </w:pPr>
            <w:r w:rsidRPr="00FA2E7C">
              <w:rPr>
                <w:rFonts w:ascii="Arial" w:hAnsi="Arial" w:cs="Arial"/>
              </w:rPr>
              <w:t>8,205</w:t>
            </w:r>
          </w:p>
          <w:p w:rsidR="00C341A8" w:rsidRPr="00FA2E7C" w:rsidRDefault="000D2D68" w:rsidP="00513D5F">
            <w:pPr>
              <w:pStyle w:val="NoSpacing"/>
              <w:jc w:val="both"/>
              <w:rPr>
                <w:rFonts w:ascii="Arial" w:hAnsi="Arial" w:cs="Arial"/>
              </w:rPr>
            </w:pPr>
            <w:r>
              <w:rPr>
                <w:rFonts w:ascii="Arial" w:hAnsi="Arial" w:cs="Arial"/>
                <w:highlight w:val="green"/>
              </w:rPr>
              <w:t>109.4%</w:t>
            </w:r>
          </w:p>
        </w:tc>
        <w:tc>
          <w:tcPr>
            <w:tcW w:w="4297" w:type="dxa"/>
          </w:tcPr>
          <w:p w:rsidR="00C341A8" w:rsidRPr="00FA2E7C" w:rsidRDefault="000D2D68" w:rsidP="007F4118">
            <w:pPr>
              <w:pStyle w:val="NoSpacing"/>
              <w:jc w:val="both"/>
              <w:rPr>
                <w:rFonts w:ascii="Arial" w:hAnsi="Arial" w:cs="Arial"/>
              </w:rPr>
            </w:pPr>
          </w:p>
        </w:tc>
        <w:tc>
          <w:tcPr>
            <w:tcW w:w="709" w:type="dxa"/>
            <w:shd w:val="clear" w:color="auto" w:fill="538135" w:themeFill="accent6" w:themeFillShade="BF"/>
          </w:tcPr>
          <w:p w:rsidR="00C341A8" w:rsidRPr="00FA2E7C" w:rsidRDefault="000D2D68" w:rsidP="00513D5F">
            <w:pPr>
              <w:pStyle w:val="NoSpacing"/>
              <w:jc w:val="both"/>
              <w:rPr>
                <w:rFonts w:ascii="Arial" w:hAnsi="Arial" w:cs="Arial"/>
              </w:rPr>
            </w:pPr>
          </w:p>
        </w:tc>
      </w:tr>
      <w:tr w:rsidR="00E54331" w:rsidTr="0072404F">
        <w:tc>
          <w:tcPr>
            <w:tcW w:w="2366" w:type="dxa"/>
          </w:tcPr>
          <w:p w:rsidR="00C341A8" w:rsidRPr="00FA2E7C" w:rsidRDefault="000D2D68" w:rsidP="0072404F">
            <w:pPr>
              <w:pStyle w:val="NoSpacing"/>
              <w:rPr>
                <w:rFonts w:ascii="Arial" w:hAnsi="Arial" w:cs="Arial"/>
              </w:rPr>
            </w:pPr>
            <w:r w:rsidRPr="00FA2E7C">
              <w:rPr>
                <w:rFonts w:ascii="Arial" w:hAnsi="Arial" w:cs="Arial"/>
              </w:rPr>
              <w:t>GDPR Compliant database growth (1,500 to 4,500).</w:t>
            </w:r>
          </w:p>
        </w:tc>
        <w:tc>
          <w:tcPr>
            <w:tcW w:w="889" w:type="dxa"/>
          </w:tcPr>
          <w:p w:rsidR="00C341A8" w:rsidRPr="00FA2E7C" w:rsidRDefault="000D2D68" w:rsidP="00513D5F">
            <w:pPr>
              <w:pStyle w:val="NoSpacing"/>
              <w:jc w:val="both"/>
              <w:rPr>
                <w:rFonts w:ascii="Arial" w:hAnsi="Arial" w:cs="Arial"/>
              </w:rPr>
            </w:pPr>
            <w:r w:rsidRPr="00FA2E7C">
              <w:rPr>
                <w:rFonts w:ascii="Arial" w:hAnsi="Arial" w:cs="Arial"/>
              </w:rPr>
              <w:t>1,500</w:t>
            </w:r>
          </w:p>
        </w:tc>
        <w:tc>
          <w:tcPr>
            <w:tcW w:w="1232" w:type="dxa"/>
            <w:shd w:val="clear" w:color="auto" w:fill="auto"/>
          </w:tcPr>
          <w:p w:rsidR="00C341A8" w:rsidRPr="00FA2E7C" w:rsidRDefault="000D2D68" w:rsidP="00513D5F">
            <w:pPr>
              <w:pStyle w:val="NoSpacing"/>
              <w:jc w:val="both"/>
              <w:rPr>
                <w:rFonts w:ascii="Arial" w:hAnsi="Arial" w:cs="Arial"/>
              </w:rPr>
            </w:pPr>
            <w:r w:rsidRPr="00FA2E7C">
              <w:rPr>
                <w:rFonts w:ascii="Arial" w:hAnsi="Arial" w:cs="Arial"/>
              </w:rPr>
              <w:t>1,637</w:t>
            </w:r>
          </w:p>
          <w:p w:rsidR="00C341A8" w:rsidRPr="00FA2E7C" w:rsidRDefault="000D2D68" w:rsidP="00513D5F">
            <w:pPr>
              <w:pStyle w:val="NoSpacing"/>
              <w:jc w:val="both"/>
              <w:rPr>
                <w:rFonts w:ascii="Arial" w:hAnsi="Arial" w:cs="Arial"/>
              </w:rPr>
            </w:pPr>
            <w:r>
              <w:rPr>
                <w:rFonts w:ascii="Arial" w:hAnsi="Arial" w:cs="Arial"/>
                <w:highlight w:val="green"/>
              </w:rPr>
              <w:t>109.13%</w:t>
            </w:r>
          </w:p>
        </w:tc>
        <w:tc>
          <w:tcPr>
            <w:tcW w:w="4297" w:type="dxa"/>
          </w:tcPr>
          <w:p w:rsidR="00C341A8" w:rsidRPr="00FA2E7C" w:rsidRDefault="000D2D68" w:rsidP="007F4118">
            <w:pPr>
              <w:pStyle w:val="NoSpacing"/>
              <w:jc w:val="both"/>
              <w:rPr>
                <w:rFonts w:ascii="Arial" w:hAnsi="Arial" w:cs="Arial"/>
              </w:rPr>
            </w:pPr>
          </w:p>
        </w:tc>
        <w:tc>
          <w:tcPr>
            <w:tcW w:w="709" w:type="dxa"/>
            <w:shd w:val="clear" w:color="auto" w:fill="538135" w:themeFill="accent6" w:themeFillShade="BF"/>
          </w:tcPr>
          <w:p w:rsidR="00C341A8" w:rsidRPr="00FA2E7C" w:rsidRDefault="000D2D68" w:rsidP="00513D5F">
            <w:pPr>
              <w:pStyle w:val="NoSpacing"/>
              <w:jc w:val="both"/>
              <w:rPr>
                <w:rFonts w:ascii="Arial" w:hAnsi="Arial" w:cs="Arial"/>
              </w:rPr>
            </w:pPr>
          </w:p>
        </w:tc>
      </w:tr>
      <w:tr w:rsidR="00E54331" w:rsidTr="0072404F">
        <w:tc>
          <w:tcPr>
            <w:tcW w:w="2366" w:type="dxa"/>
          </w:tcPr>
          <w:p w:rsidR="00C341A8" w:rsidRPr="00FA2E7C" w:rsidRDefault="000D2D68" w:rsidP="0072404F">
            <w:pPr>
              <w:pStyle w:val="NoSpacing"/>
              <w:rPr>
                <w:rFonts w:ascii="Arial" w:hAnsi="Arial" w:cs="Arial"/>
              </w:rPr>
            </w:pPr>
            <w:r w:rsidRPr="00FA2E7C">
              <w:rPr>
                <w:rFonts w:ascii="Arial" w:hAnsi="Arial" w:cs="Arial"/>
              </w:rPr>
              <w:t>Grow Twitter community (6,500 to 9,000).</w:t>
            </w:r>
          </w:p>
        </w:tc>
        <w:tc>
          <w:tcPr>
            <w:tcW w:w="889" w:type="dxa"/>
          </w:tcPr>
          <w:p w:rsidR="00C341A8" w:rsidRPr="00FA2E7C" w:rsidRDefault="000D2D68" w:rsidP="00513D5F">
            <w:pPr>
              <w:pStyle w:val="NoSpacing"/>
              <w:jc w:val="both"/>
              <w:rPr>
                <w:rFonts w:ascii="Arial" w:hAnsi="Arial" w:cs="Arial"/>
              </w:rPr>
            </w:pPr>
            <w:r w:rsidRPr="00FA2E7C">
              <w:rPr>
                <w:rFonts w:ascii="Arial" w:hAnsi="Arial" w:cs="Arial"/>
              </w:rPr>
              <w:t>1,250</w:t>
            </w:r>
          </w:p>
        </w:tc>
        <w:tc>
          <w:tcPr>
            <w:tcW w:w="1232" w:type="dxa"/>
            <w:shd w:val="clear" w:color="auto" w:fill="auto"/>
          </w:tcPr>
          <w:p w:rsidR="00C341A8" w:rsidRPr="00FA2E7C" w:rsidRDefault="000D2D68" w:rsidP="00513D5F">
            <w:pPr>
              <w:pStyle w:val="NoSpacing"/>
              <w:jc w:val="both"/>
              <w:rPr>
                <w:rFonts w:ascii="Arial" w:hAnsi="Arial" w:cs="Arial"/>
              </w:rPr>
            </w:pPr>
            <w:r w:rsidRPr="00FA2E7C">
              <w:rPr>
                <w:rFonts w:ascii="Arial" w:hAnsi="Arial" w:cs="Arial"/>
              </w:rPr>
              <w:t>1,312</w:t>
            </w:r>
          </w:p>
          <w:p w:rsidR="00C341A8" w:rsidRPr="00FA2E7C" w:rsidRDefault="000D2D68" w:rsidP="00513D5F">
            <w:pPr>
              <w:pStyle w:val="NoSpacing"/>
              <w:jc w:val="both"/>
              <w:rPr>
                <w:rFonts w:ascii="Arial" w:hAnsi="Arial" w:cs="Arial"/>
              </w:rPr>
            </w:pPr>
            <w:r>
              <w:rPr>
                <w:rFonts w:ascii="Arial" w:hAnsi="Arial" w:cs="Arial"/>
                <w:highlight w:val="green"/>
              </w:rPr>
              <w:t>104.96%</w:t>
            </w:r>
          </w:p>
          <w:p w:rsidR="00C341A8" w:rsidRPr="00FA2E7C" w:rsidRDefault="000D2D68" w:rsidP="00513D5F">
            <w:pPr>
              <w:pStyle w:val="NoSpacing"/>
              <w:jc w:val="both"/>
              <w:rPr>
                <w:rFonts w:ascii="Arial" w:hAnsi="Arial" w:cs="Arial"/>
              </w:rPr>
            </w:pPr>
          </w:p>
        </w:tc>
        <w:tc>
          <w:tcPr>
            <w:tcW w:w="4297" w:type="dxa"/>
          </w:tcPr>
          <w:p w:rsidR="00C341A8" w:rsidRPr="00FA2E7C" w:rsidRDefault="000D2D68" w:rsidP="007F4118">
            <w:pPr>
              <w:pStyle w:val="NoSpacing"/>
              <w:jc w:val="both"/>
              <w:rPr>
                <w:rFonts w:ascii="Arial" w:hAnsi="Arial" w:cs="Arial"/>
              </w:rPr>
            </w:pPr>
          </w:p>
        </w:tc>
        <w:tc>
          <w:tcPr>
            <w:tcW w:w="709" w:type="dxa"/>
            <w:shd w:val="clear" w:color="auto" w:fill="538135" w:themeFill="accent6" w:themeFillShade="BF"/>
          </w:tcPr>
          <w:p w:rsidR="00C341A8" w:rsidRPr="00FA2E7C" w:rsidRDefault="000D2D68" w:rsidP="00513D5F">
            <w:pPr>
              <w:pStyle w:val="NoSpacing"/>
              <w:jc w:val="both"/>
              <w:rPr>
                <w:rFonts w:ascii="Arial" w:hAnsi="Arial" w:cs="Arial"/>
              </w:rPr>
            </w:pPr>
          </w:p>
        </w:tc>
      </w:tr>
      <w:tr w:rsidR="00E54331" w:rsidTr="0072404F">
        <w:tc>
          <w:tcPr>
            <w:tcW w:w="2366" w:type="dxa"/>
          </w:tcPr>
          <w:p w:rsidR="00C341A8" w:rsidRPr="00FA2E7C" w:rsidRDefault="000D2D68" w:rsidP="0072404F">
            <w:pPr>
              <w:pStyle w:val="NoSpacing"/>
              <w:rPr>
                <w:rFonts w:ascii="Arial" w:hAnsi="Arial" w:cs="Arial"/>
              </w:rPr>
            </w:pPr>
            <w:r w:rsidRPr="00FA2E7C">
              <w:rPr>
                <w:rFonts w:ascii="Arial" w:hAnsi="Arial" w:cs="Arial"/>
              </w:rPr>
              <w:t>4 Subject / Thematic campaigns per annum.</w:t>
            </w:r>
          </w:p>
        </w:tc>
        <w:tc>
          <w:tcPr>
            <w:tcW w:w="889" w:type="dxa"/>
          </w:tcPr>
          <w:p w:rsidR="00C341A8" w:rsidRPr="00FA2E7C" w:rsidRDefault="000D2D68" w:rsidP="00513D5F">
            <w:pPr>
              <w:pStyle w:val="NoSpacing"/>
              <w:jc w:val="both"/>
              <w:rPr>
                <w:rFonts w:ascii="Arial" w:hAnsi="Arial" w:cs="Arial"/>
              </w:rPr>
            </w:pPr>
            <w:r w:rsidRPr="00FA2E7C">
              <w:rPr>
                <w:rFonts w:ascii="Arial" w:hAnsi="Arial" w:cs="Arial"/>
              </w:rPr>
              <w:t>6</w:t>
            </w:r>
          </w:p>
        </w:tc>
        <w:tc>
          <w:tcPr>
            <w:tcW w:w="1232" w:type="dxa"/>
            <w:shd w:val="clear" w:color="auto" w:fill="auto"/>
          </w:tcPr>
          <w:p w:rsidR="00C341A8" w:rsidRPr="00FA2E7C" w:rsidRDefault="000D2D68" w:rsidP="00513D5F">
            <w:pPr>
              <w:pStyle w:val="NoSpacing"/>
              <w:jc w:val="both"/>
              <w:rPr>
                <w:rFonts w:ascii="Arial" w:hAnsi="Arial" w:cs="Arial"/>
              </w:rPr>
            </w:pPr>
            <w:r w:rsidRPr="00FA2E7C">
              <w:rPr>
                <w:rFonts w:ascii="Arial" w:hAnsi="Arial" w:cs="Arial"/>
              </w:rPr>
              <w:t>6</w:t>
            </w:r>
          </w:p>
          <w:p w:rsidR="00C341A8" w:rsidRPr="00FA2E7C" w:rsidRDefault="000D2D68" w:rsidP="00513D5F">
            <w:pPr>
              <w:pStyle w:val="NoSpacing"/>
              <w:jc w:val="both"/>
              <w:rPr>
                <w:rFonts w:ascii="Arial" w:hAnsi="Arial" w:cs="Arial"/>
              </w:rPr>
            </w:pPr>
            <w:r>
              <w:rPr>
                <w:rFonts w:ascii="Arial" w:hAnsi="Arial" w:cs="Arial"/>
                <w:highlight w:val="green"/>
              </w:rPr>
              <w:t>100%</w:t>
            </w:r>
          </w:p>
        </w:tc>
        <w:tc>
          <w:tcPr>
            <w:tcW w:w="4297" w:type="dxa"/>
          </w:tcPr>
          <w:p w:rsidR="00C341A8" w:rsidRPr="00FA2E7C" w:rsidRDefault="000D2D68" w:rsidP="007F4118">
            <w:pPr>
              <w:pStyle w:val="NoSpacing"/>
              <w:jc w:val="both"/>
              <w:rPr>
                <w:rFonts w:ascii="Arial" w:hAnsi="Arial" w:cs="Arial"/>
              </w:rPr>
            </w:pPr>
          </w:p>
        </w:tc>
        <w:tc>
          <w:tcPr>
            <w:tcW w:w="709" w:type="dxa"/>
            <w:shd w:val="clear" w:color="auto" w:fill="538135" w:themeFill="accent6" w:themeFillShade="BF"/>
          </w:tcPr>
          <w:p w:rsidR="00C341A8" w:rsidRPr="00FA2E7C" w:rsidRDefault="000D2D68" w:rsidP="00513D5F">
            <w:pPr>
              <w:pStyle w:val="NoSpacing"/>
              <w:jc w:val="both"/>
              <w:rPr>
                <w:rFonts w:ascii="Arial" w:hAnsi="Arial" w:cs="Arial"/>
              </w:rPr>
            </w:pPr>
          </w:p>
        </w:tc>
      </w:tr>
    </w:tbl>
    <w:p w:rsidR="00280AE8" w:rsidRPr="00FA2E7C" w:rsidRDefault="000D2D68" w:rsidP="00513D5F">
      <w:pPr>
        <w:pStyle w:val="NoSpacing"/>
        <w:jc w:val="both"/>
        <w:rPr>
          <w:rFonts w:ascii="Arial" w:hAnsi="Arial" w:cs="Arial"/>
        </w:rPr>
      </w:pPr>
    </w:p>
    <w:p w:rsidR="00A80539" w:rsidRDefault="000D2D68" w:rsidP="00A80539">
      <w:pPr>
        <w:pStyle w:val="NoSpacing"/>
        <w:jc w:val="both"/>
        <w:rPr>
          <w:rFonts w:ascii="Arial" w:hAnsi="Arial" w:cs="Arial"/>
        </w:rPr>
      </w:pPr>
      <w:r w:rsidRPr="00FA2E7C">
        <w:rPr>
          <w:rFonts w:ascii="Arial" w:hAnsi="Arial" w:cs="Arial"/>
        </w:rPr>
        <w:t xml:space="preserve">Currently the table above identifies the programme will exceed most of its core targets, and that is, in spite of the impact of COVID-19 on Lancashire's business community. The Growth Hub's core service providers are confident that output forecasts will </w:t>
      </w:r>
      <w:r w:rsidRPr="00FA2E7C">
        <w:rPr>
          <w:rFonts w:ascii="Arial" w:hAnsi="Arial" w:cs="Arial"/>
          <w:b/>
        </w:rPr>
        <w:t>NO</w:t>
      </w:r>
      <w:r w:rsidRPr="00FA2E7C">
        <w:rPr>
          <w:rFonts w:ascii="Arial" w:hAnsi="Arial" w:cs="Arial"/>
          <w:b/>
        </w:rPr>
        <w:t>T</w:t>
      </w:r>
      <w:r w:rsidRPr="00FA2E7C">
        <w:rPr>
          <w:rFonts w:ascii="Arial" w:hAnsi="Arial" w:cs="Arial"/>
        </w:rPr>
        <w:t xml:space="preserve"> reduce as a consequence of the impact of COVID-19 on project delivery, and the change to the economic climate. Boost's main delivery organisations and programme management team are putting the extra spade work required to make this happen. Boost's progra</w:t>
      </w:r>
      <w:r w:rsidRPr="00FA2E7C">
        <w:rPr>
          <w:rFonts w:ascii="Arial" w:hAnsi="Arial" w:cs="Arial"/>
        </w:rPr>
        <w:t xml:space="preserve">mme management team </w:t>
      </w:r>
      <w:r w:rsidRPr="00FA2E7C">
        <w:rPr>
          <w:rFonts w:ascii="Arial" w:hAnsi="Arial" w:cs="Arial"/>
        </w:rPr>
        <w:lastRenderedPageBreak/>
        <w:t>will continue to liaise closely with service providers, funding authorities and associated business support agencies to establish a clearer picture over the coming months.  A project change request application will be sent to MHCLG in Q</w:t>
      </w:r>
      <w:r w:rsidRPr="00FA2E7C">
        <w:rPr>
          <w:rFonts w:ascii="Arial" w:hAnsi="Arial" w:cs="Arial"/>
        </w:rPr>
        <w:t>uarter 4, 2020.</w:t>
      </w:r>
      <w:r>
        <w:rPr>
          <w:rFonts w:ascii="Arial" w:hAnsi="Arial" w:cs="Arial"/>
        </w:rPr>
        <w:t xml:space="preserve"> In terms of the two KPIs which have a red RAG rating, these relate to Boost innovation promotion targets. Evidence has just started to be collected for these activities, which when received, performance is expected to improve. </w:t>
      </w:r>
    </w:p>
    <w:p w:rsidR="00A80539" w:rsidRPr="000674D6" w:rsidRDefault="000D2D68" w:rsidP="00513D5F">
      <w:pPr>
        <w:pStyle w:val="NoSpacing"/>
        <w:jc w:val="both"/>
        <w:rPr>
          <w:rFonts w:ascii="Arial" w:hAnsi="Arial" w:cs="Arial"/>
        </w:rPr>
      </w:pPr>
    </w:p>
    <w:p w:rsidR="00FE4F07" w:rsidRPr="00FA2E7C" w:rsidRDefault="000D2D68" w:rsidP="00513D5F">
      <w:pPr>
        <w:pStyle w:val="NoSpacing"/>
        <w:jc w:val="both"/>
        <w:rPr>
          <w:rFonts w:ascii="Arial" w:hAnsi="Arial" w:cs="Arial"/>
          <w:b/>
        </w:rPr>
      </w:pPr>
      <w:r w:rsidRPr="00FA2E7C">
        <w:rPr>
          <w:rFonts w:ascii="Arial" w:hAnsi="Arial" w:cs="Arial"/>
          <w:b/>
        </w:rPr>
        <w:t>R</w:t>
      </w:r>
      <w:r>
        <w:rPr>
          <w:rFonts w:ascii="Arial" w:hAnsi="Arial" w:cs="Arial"/>
          <w:b/>
        </w:rPr>
        <w:t>ISKS / MAT</w:t>
      </w:r>
      <w:r>
        <w:rPr>
          <w:rFonts w:ascii="Arial" w:hAnsi="Arial" w:cs="Arial"/>
          <w:b/>
        </w:rPr>
        <w:t>TERS OF CONSIDERATION</w:t>
      </w:r>
    </w:p>
    <w:p w:rsidR="00447D1D" w:rsidRPr="00FA2E7C" w:rsidRDefault="000D2D68" w:rsidP="00513D5F">
      <w:pPr>
        <w:pStyle w:val="NoSpacing"/>
        <w:jc w:val="both"/>
        <w:rPr>
          <w:rFonts w:ascii="Arial" w:hAnsi="Arial" w:cs="Arial"/>
        </w:rPr>
      </w:pPr>
    </w:p>
    <w:tbl>
      <w:tblPr>
        <w:tblStyle w:val="TableGrid"/>
        <w:tblW w:w="9209" w:type="dxa"/>
        <w:tblLook w:val="04A0" w:firstRow="1" w:lastRow="0" w:firstColumn="1" w:lastColumn="0" w:noHBand="0" w:noVBand="1"/>
      </w:tblPr>
      <w:tblGrid>
        <w:gridCol w:w="4390"/>
        <w:gridCol w:w="4819"/>
      </w:tblGrid>
      <w:tr w:rsidR="00E54331" w:rsidTr="00015091">
        <w:tc>
          <w:tcPr>
            <w:tcW w:w="4390" w:type="dxa"/>
          </w:tcPr>
          <w:p w:rsidR="00421252" w:rsidRPr="00FA2E7C" w:rsidRDefault="000D2D68" w:rsidP="00421252">
            <w:pPr>
              <w:pStyle w:val="NoSpacing"/>
              <w:jc w:val="both"/>
              <w:rPr>
                <w:rFonts w:ascii="Arial" w:hAnsi="Arial" w:cs="Arial"/>
                <w:b/>
              </w:rPr>
            </w:pPr>
            <w:r w:rsidRPr="00FA2E7C">
              <w:rPr>
                <w:rFonts w:ascii="Arial" w:hAnsi="Arial" w:cs="Arial"/>
                <w:b/>
              </w:rPr>
              <w:t>Risk</w:t>
            </w:r>
          </w:p>
        </w:tc>
        <w:tc>
          <w:tcPr>
            <w:tcW w:w="4819" w:type="dxa"/>
          </w:tcPr>
          <w:p w:rsidR="00421252" w:rsidRPr="00FA2E7C" w:rsidRDefault="000D2D68" w:rsidP="00421252">
            <w:pPr>
              <w:pStyle w:val="NoSpacing"/>
              <w:jc w:val="both"/>
              <w:rPr>
                <w:rFonts w:ascii="Arial" w:hAnsi="Arial" w:cs="Arial"/>
                <w:b/>
              </w:rPr>
            </w:pPr>
            <w:r w:rsidRPr="00FA2E7C">
              <w:rPr>
                <w:rFonts w:ascii="Arial" w:hAnsi="Arial" w:cs="Arial"/>
                <w:b/>
              </w:rPr>
              <w:t>Mitigation / Action</w:t>
            </w:r>
          </w:p>
        </w:tc>
      </w:tr>
      <w:tr w:rsidR="00E54331" w:rsidTr="00015091">
        <w:tc>
          <w:tcPr>
            <w:tcW w:w="4390" w:type="dxa"/>
          </w:tcPr>
          <w:p w:rsidR="000C7079" w:rsidRPr="00FA2E7C" w:rsidRDefault="000D2D68" w:rsidP="000C7079">
            <w:pPr>
              <w:pStyle w:val="NoSpacing"/>
              <w:rPr>
                <w:rFonts w:ascii="Arial" w:hAnsi="Arial" w:cs="Arial"/>
              </w:rPr>
            </w:pPr>
            <w:r w:rsidRPr="00FA2E7C">
              <w:rPr>
                <w:rFonts w:ascii="Arial" w:hAnsi="Arial" w:cs="Arial"/>
              </w:rPr>
              <w:t>The ongoing risk is the potential impact on contracted outputs and expenditure as a result of disruption caused by the Covid19 outbreak.  The PMT will continue to liaise with MHCLG regarding freedoms and fle</w:t>
            </w:r>
            <w:r w:rsidRPr="00FA2E7C">
              <w:rPr>
                <w:rFonts w:ascii="Arial" w:hAnsi="Arial" w:cs="Arial"/>
              </w:rPr>
              <w:t xml:space="preserve">xibilities. </w:t>
            </w:r>
          </w:p>
          <w:p w:rsidR="000C7079" w:rsidRPr="00FA2E7C" w:rsidRDefault="000D2D68" w:rsidP="000C7079">
            <w:pPr>
              <w:pStyle w:val="NoSpacing"/>
              <w:rPr>
                <w:rFonts w:ascii="Arial" w:hAnsi="Arial" w:cs="Arial"/>
              </w:rPr>
            </w:pPr>
            <w:r w:rsidRPr="00FA2E7C">
              <w:rPr>
                <w:rFonts w:ascii="Arial" w:hAnsi="Arial" w:cs="Arial"/>
              </w:rPr>
              <w:t xml:space="preserve"> </w:t>
            </w:r>
          </w:p>
          <w:p w:rsidR="000C7079" w:rsidRPr="00FA2E7C" w:rsidRDefault="000D2D68" w:rsidP="000C7079">
            <w:pPr>
              <w:pStyle w:val="NoSpacing"/>
              <w:rPr>
                <w:rFonts w:ascii="Arial" w:hAnsi="Arial" w:cs="Arial"/>
              </w:rPr>
            </w:pPr>
            <w:r w:rsidRPr="00FA2E7C">
              <w:rPr>
                <w:rFonts w:ascii="Arial" w:hAnsi="Arial" w:cs="Arial"/>
              </w:rPr>
              <w:t xml:space="preserve">Worries also remain over outputs, flexibilities and EU exit impact. </w:t>
            </w:r>
          </w:p>
          <w:p w:rsidR="00421252" w:rsidRPr="00FA2E7C" w:rsidRDefault="000D2D68" w:rsidP="00ED15AC">
            <w:pPr>
              <w:pStyle w:val="NoSpacing"/>
              <w:rPr>
                <w:rFonts w:ascii="Arial" w:hAnsi="Arial" w:cs="Arial"/>
              </w:rPr>
            </w:pPr>
          </w:p>
        </w:tc>
        <w:tc>
          <w:tcPr>
            <w:tcW w:w="4819" w:type="dxa"/>
          </w:tcPr>
          <w:p w:rsidR="00421252" w:rsidRPr="00FA2E7C" w:rsidRDefault="000D2D68" w:rsidP="00280AE8">
            <w:pPr>
              <w:pStyle w:val="NoSpacing"/>
              <w:rPr>
                <w:rFonts w:ascii="Arial" w:hAnsi="Arial" w:cs="Arial"/>
              </w:rPr>
            </w:pPr>
            <w:r w:rsidRPr="00FA2E7C">
              <w:rPr>
                <w:rFonts w:ascii="Arial" w:hAnsi="Arial" w:cs="Arial"/>
              </w:rPr>
              <w:t>The PMT will continue to liaise with MHCLG regarding freedoms and flexibilities.</w:t>
            </w:r>
          </w:p>
        </w:tc>
      </w:tr>
      <w:tr w:rsidR="00E54331" w:rsidTr="00015091">
        <w:tc>
          <w:tcPr>
            <w:tcW w:w="4390" w:type="dxa"/>
          </w:tcPr>
          <w:p w:rsidR="00421252" w:rsidRPr="00FA2E7C" w:rsidRDefault="000D2D68" w:rsidP="00ED15AC">
            <w:pPr>
              <w:pStyle w:val="NoSpacing"/>
              <w:rPr>
                <w:rFonts w:ascii="Arial" w:hAnsi="Arial" w:cs="Arial"/>
              </w:rPr>
            </w:pPr>
            <w:r w:rsidRPr="00FA2E7C">
              <w:rPr>
                <w:rFonts w:ascii="Arial" w:hAnsi="Arial" w:cs="Arial"/>
              </w:rPr>
              <w:t>Programme Performance reduced as a consequence of COVID-19</w:t>
            </w:r>
          </w:p>
        </w:tc>
        <w:tc>
          <w:tcPr>
            <w:tcW w:w="4819" w:type="dxa"/>
          </w:tcPr>
          <w:p w:rsidR="00421252" w:rsidRPr="00FA2E7C" w:rsidRDefault="000D2D68" w:rsidP="00CF2204">
            <w:pPr>
              <w:pStyle w:val="NoSpacing"/>
              <w:rPr>
                <w:rFonts w:ascii="Arial" w:hAnsi="Arial" w:cs="Arial"/>
              </w:rPr>
            </w:pPr>
            <w:r w:rsidRPr="00FA2E7C">
              <w:rPr>
                <w:rFonts w:ascii="Arial" w:hAnsi="Arial" w:cs="Arial"/>
              </w:rPr>
              <w:t xml:space="preserve">Close review of the entire programme is being done via </w:t>
            </w:r>
            <w:r w:rsidRPr="00FA2E7C">
              <w:rPr>
                <w:rFonts w:ascii="Arial" w:hAnsi="Arial" w:cs="Arial"/>
                <w:b/>
              </w:rPr>
              <w:t>contract review meetings</w:t>
            </w:r>
            <w:r w:rsidRPr="00FA2E7C">
              <w:rPr>
                <w:rFonts w:ascii="Arial" w:hAnsi="Arial" w:cs="Arial"/>
              </w:rPr>
              <w:t xml:space="preserve"> complimented by </w:t>
            </w:r>
            <w:r w:rsidRPr="00FA2E7C">
              <w:rPr>
                <w:rFonts w:ascii="Arial" w:hAnsi="Arial" w:cs="Arial"/>
                <w:b/>
              </w:rPr>
              <w:t xml:space="preserve">weekly performance updates </w:t>
            </w:r>
            <w:r w:rsidRPr="00FA2E7C">
              <w:rPr>
                <w:rFonts w:ascii="Arial" w:hAnsi="Arial" w:cs="Arial"/>
              </w:rPr>
              <w:t xml:space="preserve">and </w:t>
            </w:r>
            <w:r w:rsidRPr="00FA2E7C">
              <w:rPr>
                <w:rFonts w:ascii="Arial" w:hAnsi="Arial" w:cs="Arial"/>
                <w:b/>
              </w:rPr>
              <w:t>stand up meetings</w:t>
            </w:r>
            <w:r w:rsidRPr="00FA2E7C">
              <w:rPr>
                <w:rFonts w:ascii="Arial" w:hAnsi="Arial" w:cs="Arial"/>
              </w:rPr>
              <w:t xml:space="preserve"> thrice a week. Both core delivery partners and key stakeholders, associate project leads are attending Boost st</w:t>
            </w:r>
            <w:r w:rsidRPr="00FA2E7C">
              <w:rPr>
                <w:rFonts w:ascii="Arial" w:hAnsi="Arial" w:cs="Arial"/>
              </w:rPr>
              <w:t>and up meetings, helping in wider collaboration and symbiotic relationships.</w:t>
            </w:r>
          </w:p>
        </w:tc>
      </w:tr>
    </w:tbl>
    <w:p w:rsidR="00421252" w:rsidRPr="00FA2E7C" w:rsidRDefault="000D2D68" w:rsidP="0072404F">
      <w:pPr>
        <w:pStyle w:val="NoSpacing"/>
        <w:jc w:val="both"/>
        <w:rPr>
          <w:rFonts w:ascii="Arial" w:hAnsi="Arial" w:cs="Arial"/>
        </w:rPr>
      </w:pPr>
    </w:p>
    <w:sectPr w:rsidR="00421252" w:rsidRPr="00FA2E7C" w:rsidSect="0072404F">
      <w:footerReference w:type="default" r:id="rId10"/>
      <w:pgSz w:w="11906" w:h="16838"/>
      <w:pgMar w:top="99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2D68">
      <w:pPr>
        <w:spacing w:after="0" w:line="240" w:lineRule="auto"/>
      </w:pPr>
      <w:r>
        <w:separator/>
      </w:r>
    </w:p>
  </w:endnote>
  <w:endnote w:type="continuationSeparator" w:id="0">
    <w:p w:rsidR="00000000" w:rsidRDefault="000D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24549"/>
      <w:docPartObj>
        <w:docPartGallery w:val="Page Numbers (Bottom of Page)"/>
        <w:docPartUnique/>
      </w:docPartObj>
    </w:sdtPr>
    <w:sdtEndPr>
      <w:rPr>
        <w:noProof/>
      </w:rPr>
    </w:sdtEndPr>
    <w:sdtContent>
      <w:p w:rsidR="0016733D" w:rsidRDefault="000D2D6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6733D" w:rsidRDefault="000D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2D68">
      <w:pPr>
        <w:spacing w:after="0" w:line="240" w:lineRule="auto"/>
      </w:pPr>
      <w:r>
        <w:separator/>
      </w:r>
    </w:p>
  </w:footnote>
  <w:footnote w:type="continuationSeparator" w:id="0">
    <w:p w:rsidR="00000000" w:rsidRDefault="000D2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0DC6"/>
    <w:multiLevelType w:val="hybridMultilevel"/>
    <w:tmpl w:val="10E8D4CE"/>
    <w:lvl w:ilvl="0" w:tplc="F3EC54BA">
      <w:start w:val="1"/>
      <w:numFmt w:val="bullet"/>
      <w:lvlText w:val="o"/>
      <w:lvlJc w:val="left"/>
      <w:pPr>
        <w:ind w:left="1080" w:hanging="360"/>
      </w:pPr>
      <w:rPr>
        <w:rFonts w:ascii="Courier New" w:hAnsi="Courier New" w:cs="Courier New" w:hint="default"/>
      </w:rPr>
    </w:lvl>
    <w:lvl w:ilvl="1" w:tplc="FC68BAAC">
      <w:start w:val="1"/>
      <w:numFmt w:val="bullet"/>
      <w:lvlText w:val="o"/>
      <w:lvlJc w:val="left"/>
      <w:pPr>
        <w:ind w:left="1800" w:hanging="360"/>
      </w:pPr>
      <w:rPr>
        <w:rFonts w:ascii="Courier New" w:hAnsi="Courier New" w:cs="Courier New" w:hint="default"/>
      </w:rPr>
    </w:lvl>
    <w:lvl w:ilvl="2" w:tplc="EF5EAD34" w:tentative="1">
      <w:start w:val="1"/>
      <w:numFmt w:val="lowerRoman"/>
      <w:lvlText w:val="%3."/>
      <w:lvlJc w:val="right"/>
      <w:pPr>
        <w:ind w:left="2520" w:hanging="180"/>
      </w:pPr>
    </w:lvl>
    <w:lvl w:ilvl="3" w:tplc="3CEA6D7E" w:tentative="1">
      <w:start w:val="1"/>
      <w:numFmt w:val="decimal"/>
      <w:lvlText w:val="%4."/>
      <w:lvlJc w:val="left"/>
      <w:pPr>
        <w:ind w:left="3240" w:hanging="360"/>
      </w:pPr>
    </w:lvl>
    <w:lvl w:ilvl="4" w:tplc="FFA626CC" w:tentative="1">
      <w:start w:val="1"/>
      <w:numFmt w:val="lowerLetter"/>
      <w:lvlText w:val="%5."/>
      <w:lvlJc w:val="left"/>
      <w:pPr>
        <w:ind w:left="3960" w:hanging="360"/>
      </w:pPr>
    </w:lvl>
    <w:lvl w:ilvl="5" w:tplc="CB3C5EF4" w:tentative="1">
      <w:start w:val="1"/>
      <w:numFmt w:val="lowerRoman"/>
      <w:lvlText w:val="%6."/>
      <w:lvlJc w:val="right"/>
      <w:pPr>
        <w:ind w:left="4680" w:hanging="180"/>
      </w:pPr>
    </w:lvl>
    <w:lvl w:ilvl="6" w:tplc="547228CA" w:tentative="1">
      <w:start w:val="1"/>
      <w:numFmt w:val="decimal"/>
      <w:lvlText w:val="%7."/>
      <w:lvlJc w:val="left"/>
      <w:pPr>
        <w:ind w:left="5400" w:hanging="360"/>
      </w:pPr>
    </w:lvl>
    <w:lvl w:ilvl="7" w:tplc="4FA4BC0E" w:tentative="1">
      <w:start w:val="1"/>
      <w:numFmt w:val="lowerLetter"/>
      <w:lvlText w:val="%8."/>
      <w:lvlJc w:val="left"/>
      <w:pPr>
        <w:ind w:left="6120" w:hanging="360"/>
      </w:pPr>
    </w:lvl>
    <w:lvl w:ilvl="8" w:tplc="F612D9E0" w:tentative="1">
      <w:start w:val="1"/>
      <w:numFmt w:val="lowerRoman"/>
      <w:lvlText w:val="%9."/>
      <w:lvlJc w:val="right"/>
      <w:pPr>
        <w:ind w:left="6840" w:hanging="180"/>
      </w:pPr>
    </w:lvl>
  </w:abstractNum>
  <w:abstractNum w:abstractNumId="1" w15:restartNumberingAfterBreak="0">
    <w:nsid w:val="1C89753B"/>
    <w:multiLevelType w:val="hybridMultilevel"/>
    <w:tmpl w:val="3BBAB42C"/>
    <w:lvl w:ilvl="0" w:tplc="7B42342A">
      <w:start w:val="1"/>
      <w:numFmt w:val="bullet"/>
      <w:lvlText w:val=""/>
      <w:lvlJc w:val="left"/>
      <w:pPr>
        <w:ind w:left="720" w:hanging="360"/>
      </w:pPr>
      <w:rPr>
        <w:rFonts w:ascii="Wingdings" w:hAnsi="Wingdings" w:hint="default"/>
      </w:rPr>
    </w:lvl>
    <w:lvl w:ilvl="1" w:tplc="89D08C4E" w:tentative="1">
      <w:start w:val="1"/>
      <w:numFmt w:val="bullet"/>
      <w:lvlText w:val="o"/>
      <w:lvlJc w:val="left"/>
      <w:pPr>
        <w:ind w:left="1440" w:hanging="360"/>
      </w:pPr>
      <w:rPr>
        <w:rFonts w:ascii="Courier New" w:hAnsi="Courier New" w:cs="Courier New" w:hint="default"/>
      </w:rPr>
    </w:lvl>
    <w:lvl w:ilvl="2" w:tplc="1F0C852A" w:tentative="1">
      <w:start w:val="1"/>
      <w:numFmt w:val="bullet"/>
      <w:lvlText w:val=""/>
      <w:lvlJc w:val="left"/>
      <w:pPr>
        <w:ind w:left="2160" w:hanging="360"/>
      </w:pPr>
      <w:rPr>
        <w:rFonts w:ascii="Wingdings" w:hAnsi="Wingdings" w:hint="default"/>
      </w:rPr>
    </w:lvl>
    <w:lvl w:ilvl="3" w:tplc="3A6817EA" w:tentative="1">
      <w:start w:val="1"/>
      <w:numFmt w:val="bullet"/>
      <w:lvlText w:val=""/>
      <w:lvlJc w:val="left"/>
      <w:pPr>
        <w:ind w:left="2880" w:hanging="360"/>
      </w:pPr>
      <w:rPr>
        <w:rFonts w:ascii="Symbol" w:hAnsi="Symbol" w:hint="default"/>
      </w:rPr>
    </w:lvl>
    <w:lvl w:ilvl="4" w:tplc="BF024738" w:tentative="1">
      <w:start w:val="1"/>
      <w:numFmt w:val="bullet"/>
      <w:lvlText w:val="o"/>
      <w:lvlJc w:val="left"/>
      <w:pPr>
        <w:ind w:left="3600" w:hanging="360"/>
      </w:pPr>
      <w:rPr>
        <w:rFonts w:ascii="Courier New" w:hAnsi="Courier New" w:cs="Courier New" w:hint="default"/>
      </w:rPr>
    </w:lvl>
    <w:lvl w:ilvl="5" w:tplc="92BA7306" w:tentative="1">
      <w:start w:val="1"/>
      <w:numFmt w:val="bullet"/>
      <w:lvlText w:val=""/>
      <w:lvlJc w:val="left"/>
      <w:pPr>
        <w:ind w:left="4320" w:hanging="360"/>
      </w:pPr>
      <w:rPr>
        <w:rFonts w:ascii="Wingdings" w:hAnsi="Wingdings" w:hint="default"/>
      </w:rPr>
    </w:lvl>
    <w:lvl w:ilvl="6" w:tplc="42B68EEC" w:tentative="1">
      <w:start w:val="1"/>
      <w:numFmt w:val="bullet"/>
      <w:lvlText w:val=""/>
      <w:lvlJc w:val="left"/>
      <w:pPr>
        <w:ind w:left="5040" w:hanging="360"/>
      </w:pPr>
      <w:rPr>
        <w:rFonts w:ascii="Symbol" w:hAnsi="Symbol" w:hint="default"/>
      </w:rPr>
    </w:lvl>
    <w:lvl w:ilvl="7" w:tplc="8200D278" w:tentative="1">
      <w:start w:val="1"/>
      <w:numFmt w:val="bullet"/>
      <w:lvlText w:val="o"/>
      <w:lvlJc w:val="left"/>
      <w:pPr>
        <w:ind w:left="5760" w:hanging="360"/>
      </w:pPr>
      <w:rPr>
        <w:rFonts w:ascii="Courier New" w:hAnsi="Courier New" w:cs="Courier New" w:hint="default"/>
      </w:rPr>
    </w:lvl>
    <w:lvl w:ilvl="8" w:tplc="E87685E2" w:tentative="1">
      <w:start w:val="1"/>
      <w:numFmt w:val="bullet"/>
      <w:lvlText w:val=""/>
      <w:lvlJc w:val="left"/>
      <w:pPr>
        <w:ind w:left="6480" w:hanging="360"/>
      </w:pPr>
      <w:rPr>
        <w:rFonts w:ascii="Wingdings" w:hAnsi="Wingdings" w:hint="default"/>
      </w:rPr>
    </w:lvl>
  </w:abstractNum>
  <w:abstractNum w:abstractNumId="2" w15:restartNumberingAfterBreak="0">
    <w:nsid w:val="26EA09CD"/>
    <w:multiLevelType w:val="hybridMultilevel"/>
    <w:tmpl w:val="411A048A"/>
    <w:lvl w:ilvl="0" w:tplc="494C6B14">
      <w:start w:val="1"/>
      <w:numFmt w:val="bullet"/>
      <w:lvlText w:val=""/>
      <w:lvlJc w:val="left"/>
      <w:pPr>
        <w:ind w:left="360" w:hanging="360"/>
      </w:pPr>
      <w:rPr>
        <w:rFonts w:ascii="Wingdings" w:hAnsi="Wingdings" w:hint="default"/>
      </w:rPr>
    </w:lvl>
    <w:lvl w:ilvl="1" w:tplc="4348839E">
      <w:start w:val="1"/>
      <w:numFmt w:val="bullet"/>
      <w:lvlText w:val="o"/>
      <w:lvlJc w:val="left"/>
      <w:pPr>
        <w:ind w:left="1080" w:hanging="360"/>
      </w:pPr>
      <w:rPr>
        <w:rFonts w:ascii="Courier New" w:hAnsi="Courier New" w:cs="Courier New" w:hint="default"/>
      </w:rPr>
    </w:lvl>
    <w:lvl w:ilvl="2" w:tplc="B5089AC0" w:tentative="1">
      <w:start w:val="1"/>
      <w:numFmt w:val="bullet"/>
      <w:lvlText w:val=""/>
      <w:lvlJc w:val="left"/>
      <w:pPr>
        <w:ind w:left="1800" w:hanging="360"/>
      </w:pPr>
      <w:rPr>
        <w:rFonts w:ascii="Wingdings" w:hAnsi="Wingdings" w:hint="default"/>
      </w:rPr>
    </w:lvl>
    <w:lvl w:ilvl="3" w:tplc="5AC469C6" w:tentative="1">
      <w:start w:val="1"/>
      <w:numFmt w:val="bullet"/>
      <w:lvlText w:val=""/>
      <w:lvlJc w:val="left"/>
      <w:pPr>
        <w:ind w:left="2520" w:hanging="360"/>
      </w:pPr>
      <w:rPr>
        <w:rFonts w:ascii="Symbol" w:hAnsi="Symbol" w:hint="default"/>
      </w:rPr>
    </w:lvl>
    <w:lvl w:ilvl="4" w:tplc="52BA14E4" w:tentative="1">
      <w:start w:val="1"/>
      <w:numFmt w:val="bullet"/>
      <w:lvlText w:val="o"/>
      <w:lvlJc w:val="left"/>
      <w:pPr>
        <w:ind w:left="3240" w:hanging="360"/>
      </w:pPr>
      <w:rPr>
        <w:rFonts w:ascii="Courier New" w:hAnsi="Courier New" w:cs="Courier New" w:hint="default"/>
      </w:rPr>
    </w:lvl>
    <w:lvl w:ilvl="5" w:tplc="B7E0A89E" w:tentative="1">
      <w:start w:val="1"/>
      <w:numFmt w:val="bullet"/>
      <w:lvlText w:val=""/>
      <w:lvlJc w:val="left"/>
      <w:pPr>
        <w:ind w:left="3960" w:hanging="360"/>
      </w:pPr>
      <w:rPr>
        <w:rFonts w:ascii="Wingdings" w:hAnsi="Wingdings" w:hint="default"/>
      </w:rPr>
    </w:lvl>
    <w:lvl w:ilvl="6" w:tplc="609A5F0A" w:tentative="1">
      <w:start w:val="1"/>
      <w:numFmt w:val="bullet"/>
      <w:lvlText w:val=""/>
      <w:lvlJc w:val="left"/>
      <w:pPr>
        <w:ind w:left="4680" w:hanging="360"/>
      </w:pPr>
      <w:rPr>
        <w:rFonts w:ascii="Symbol" w:hAnsi="Symbol" w:hint="default"/>
      </w:rPr>
    </w:lvl>
    <w:lvl w:ilvl="7" w:tplc="83AE1050" w:tentative="1">
      <w:start w:val="1"/>
      <w:numFmt w:val="bullet"/>
      <w:lvlText w:val="o"/>
      <w:lvlJc w:val="left"/>
      <w:pPr>
        <w:ind w:left="5400" w:hanging="360"/>
      </w:pPr>
      <w:rPr>
        <w:rFonts w:ascii="Courier New" w:hAnsi="Courier New" w:cs="Courier New" w:hint="default"/>
      </w:rPr>
    </w:lvl>
    <w:lvl w:ilvl="8" w:tplc="1AF20D96" w:tentative="1">
      <w:start w:val="1"/>
      <w:numFmt w:val="bullet"/>
      <w:lvlText w:val=""/>
      <w:lvlJc w:val="left"/>
      <w:pPr>
        <w:ind w:left="6120" w:hanging="360"/>
      </w:pPr>
      <w:rPr>
        <w:rFonts w:ascii="Wingdings" w:hAnsi="Wingdings" w:hint="default"/>
      </w:rPr>
    </w:lvl>
  </w:abstractNum>
  <w:abstractNum w:abstractNumId="3" w15:restartNumberingAfterBreak="0">
    <w:nsid w:val="33D776BC"/>
    <w:multiLevelType w:val="hybridMultilevel"/>
    <w:tmpl w:val="A1CA33B2"/>
    <w:lvl w:ilvl="0" w:tplc="1832BFFA">
      <w:start w:val="1"/>
      <w:numFmt w:val="bullet"/>
      <w:lvlText w:val=""/>
      <w:lvlJc w:val="left"/>
      <w:pPr>
        <w:ind w:left="720" w:hanging="360"/>
      </w:pPr>
      <w:rPr>
        <w:rFonts w:ascii="Wingdings" w:hAnsi="Wingdings" w:hint="default"/>
      </w:rPr>
    </w:lvl>
    <w:lvl w:ilvl="1" w:tplc="56E64026" w:tentative="1">
      <w:start w:val="1"/>
      <w:numFmt w:val="bullet"/>
      <w:lvlText w:val="o"/>
      <w:lvlJc w:val="left"/>
      <w:pPr>
        <w:ind w:left="1440" w:hanging="360"/>
      </w:pPr>
      <w:rPr>
        <w:rFonts w:ascii="Courier New" w:hAnsi="Courier New" w:cs="Courier New" w:hint="default"/>
      </w:rPr>
    </w:lvl>
    <w:lvl w:ilvl="2" w:tplc="3E849E20" w:tentative="1">
      <w:start w:val="1"/>
      <w:numFmt w:val="bullet"/>
      <w:lvlText w:val=""/>
      <w:lvlJc w:val="left"/>
      <w:pPr>
        <w:ind w:left="2160" w:hanging="360"/>
      </w:pPr>
      <w:rPr>
        <w:rFonts w:ascii="Wingdings" w:hAnsi="Wingdings" w:hint="default"/>
      </w:rPr>
    </w:lvl>
    <w:lvl w:ilvl="3" w:tplc="B420A8AE" w:tentative="1">
      <w:start w:val="1"/>
      <w:numFmt w:val="bullet"/>
      <w:lvlText w:val=""/>
      <w:lvlJc w:val="left"/>
      <w:pPr>
        <w:ind w:left="2880" w:hanging="360"/>
      </w:pPr>
      <w:rPr>
        <w:rFonts w:ascii="Symbol" w:hAnsi="Symbol" w:hint="default"/>
      </w:rPr>
    </w:lvl>
    <w:lvl w:ilvl="4" w:tplc="B8C26428" w:tentative="1">
      <w:start w:val="1"/>
      <w:numFmt w:val="bullet"/>
      <w:lvlText w:val="o"/>
      <w:lvlJc w:val="left"/>
      <w:pPr>
        <w:ind w:left="3600" w:hanging="360"/>
      </w:pPr>
      <w:rPr>
        <w:rFonts w:ascii="Courier New" w:hAnsi="Courier New" w:cs="Courier New" w:hint="default"/>
      </w:rPr>
    </w:lvl>
    <w:lvl w:ilvl="5" w:tplc="BD74C2E4" w:tentative="1">
      <w:start w:val="1"/>
      <w:numFmt w:val="bullet"/>
      <w:lvlText w:val=""/>
      <w:lvlJc w:val="left"/>
      <w:pPr>
        <w:ind w:left="4320" w:hanging="360"/>
      </w:pPr>
      <w:rPr>
        <w:rFonts w:ascii="Wingdings" w:hAnsi="Wingdings" w:hint="default"/>
      </w:rPr>
    </w:lvl>
    <w:lvl w:ilvl="6" w:tplc="4D622D04" w:tentative="1">
      <w:start w:val="1"/>
      <w:numFmt w:val="bullet"/>
      <w:lvlText w:val=""/>
      <w:lvlJc w:val="left"/>
      <w:pPr>
        <w:ind w:left="5040" w:hanging="360"/>
      </w:pPr>
      <w:rPr>
        <w:rFonts w:ascii="Symbol" w:hAnsi="Symbol" w:hint="default"/>
      </w:rPr>
    </w:lvl>
    <w:lvl w:ilvl="7" w:tplc="76C86138" w:tentative="1">
      <w:start w:val="1"/>
      <w:numFmt w:val="bullet"/>
      <w:lvlText w:val="o"/>
      <w:lvlJc w:val="left"/>
      <w:pPr>
        <w:ind w:left="5760" w:hanging="360"/>
      </w:pPr>
      <w:rPr>
        <w:rFonts w:ascii="Courier New" w:hAnsi="Courier New" w:cs="Courier New" w:hint="default"/>
      </w:rPr>
    </w:lvl>
    <w:lvl w:ilvl="8" w:tplc="29AAB3C4" w:tentative="1">
      <w:start w:val="1"/>
      <w:numFmt w:val="bullet"/>
      <w:lvlText w:val=""/>
      <w:lvlJc w:val="left"/>
      <w:pPr>
        <w:ind w:left="6480" w:hanging="360"/>
      </w:pPr>
      <w:rPr>
        <w:rFonts w:ascii="Wingdings" w:hAnsi="Wingdings" w:hint="default"/>
      </w:rPr>
    </w:lvl>
  </w:abstractNum>
  <w:abstractNum w:abstractNumId="4" w15:restartNumberingAfterBreak="0">
    <w:nsid w:val="38223DC5"/>
    <w:multiLevelType w:val="hybridMultilevel"/>
    <w:tmpl w:val="3BB8539E"/>
    <w:lvl w:ilvl="0" w:tplc="D828EE7E">
      <w:start w:val="1"/>
      <w:numFmt w:val="bullet"/>
      <w:lvlText w:val=""/>
      <w:lvlJc w:val="left"/>
      <w:pPr>
        <w:ind w:left="360" w:hanging="360"/>
      </w:pPr>
      <w:rPr>
        <w:rFonts w:ascii="Wingdings" w:hAnsi="Wingdings" w:hint="default"/>
      </w:rPr>
    </w:lvl>
    <w:lvl w:ilvl="1" w:tplc="DE0868B8" w:tentative="1">
      <w:start w:val="1"/>
      <w:numFmt w:val="bullet"/>
      <w:lvlText w:val="o"/>
      <w:lvlJc w:val="left"/>
      <w:pPr>
        <w:ind w:left="1080" w:hanging="360"/>
      </w:pPr>
      <w:rPr>
        <w:rFonts w:ascii="Courier New" w:hAnsi="Courier New" w:cs="Courier New" w:hint="default"/>
      </w:rPr>
    </w:lvl>
    <w:lvl w:ilvl="2" w:tplc="D4B0E598" w:tentative="1">
      <w:start w:val="1"/>
      <w:numFmt w:val="bullet"/>
      <w:lvlText w:val=""/>
      <w:lvlJc w:val="left"/>
      <w:pPr>
        <w:ind w:left="1800" w:hanging="360"/>
      </w:pPr>
      <w:rPr>
        <w:rFonts w:ascii="Wingdings" w:hAnsi="Wingdings" w:hint="default"/>
      </w:rPr>
    </w:lvl>
    <w:lvl w:ilvl="3" w:tplc="B900B926" w:tentative="1">
      <w:start w:val="1"/>
      <w:numFmt w:val="bullet"/>
      <w:lvlText w:val=""/>
      <w:lvlJc w:val="left"/>
      <w:pPr>
        <w:ind w:left="2520" w:hanging="360"/>
      </w:pPr>
      <w:rPr>
        <w:rFonts w:ascii="Symbol" w:hAnsi="Symbol" w:hint="default"/>
      </w:rPr>
    </w:lvl>
    <w:lvl w:ilvl="4" w:tplc="8D428458" w:tentative="1">
      <w:start w:val="1"/>
      <w:numFmt w:val="bullet"/>
      <w:lvlText w:val="o"/>
      <w:lvlJc w:val="left"/>
      <w:pPr>
        <w:ind w:left="3240" w:hanging="360"/>
      </w:pPr>
      <w:rPr>
        <w:rFonts w:ascii="Courier New" w:hAnsi="Courier New" w:cs="Courier New" w:hint="default"/>
      </w:rPr>
    </w:lvl>
    <w:lvl w:ilvl="5" w:tplc="9A94A548" w:tentative="1">
      <w:start w:val="1"/>
      <w:numFmt w:val="bullet"/>
      <w:lvlText w:val=""/>
      <w:lvlJc w:val="left"/>
      <w:pPr>
        <w:ind w:left="3960" w:hanging="360"/>
      </w:pPr>
      <w:rPr>
        <w:rFonts w:ascii="Wingdings" w:hAnsi="Wingdings" w:hint="default"/>
      </w:rPr>
    </w:lvl>
    <w:lvl w:ilvl="6" w:tplc="36EA35EC" w:tentative="1">
      <w:start w:val="1"/>
      <w:numFmt w:val="bullet"/>
      <w:lvlText w:val=""/>
      <w:lvlJc w:val="left"/>
      <w:pPr>
        <w:ind w:left="4680" w:hanging="360"/>
      </w:pPr>
      <w:rPr>
        <w:rFonts w:ascii="Symbol" w:hAnsi="Symbol" w:hint="default"/>
      </w:rPr>
    </w:lvl>
    <w:lvl w:ilvl="7" w:tplc="3090558E" w:tentative="1">
      <w:start w:val="1"/>
      <w:numFmt w:val="bullet"/>
      <w:lvlText w:val="o"/>
      <w:lvlJc w:val="left"/>
      <w:pPr>
        <w:ind w:left="5400" w:hanging="360"/>
      </w:pPr>
      <w:rPr>
        <w:rFonts w:ascii="Courier New" w:hAnsi="Courier New" w:cs="Courier New" w:hint="default"/>
      </w:rPr>
    </w:lvl>
    <w:lvl w:ilvl="8" w:tplc="BBFC67B6" w:tentative="1">
      <w:start w:val="1"/>
      <w:numFmt w:val="bullet"/>
      <w:lvlText w:val=""/>
      <w:lvlJc w:val="left"/>
      <w:pPr>
        <w:ind w:left="6120" w:hanging="360"/>
      </w:pPr>
      <w:rPr>
        <w:rFonts w:ascii="Wingdings" w:hAnsi="Wingdings" w:hint="default"/>
      </w:rPr>
    </w:lvl>
  </w:abstractNum>
  <w:abstractNum w:abstractNumId="5" w15:restartNumberingAfterBreak="0">
    <w:nsid w:val="79545630"/>
    <w:multiLevelType w:val="hybridMultilevel"/>
    <w:tmpl w:val="81646C72"/>
    <w:lvl w:ilvl="0" w:tplc="6A68A756">
      <w:start w:val="1"/>
      <w:numFmt w:val="decimal"/>
      <w:lvlText w:val="%1."/>
      <w:lvlJc w:val="left"/>
      <w:pPr>
        <w:ind w:left="360" w:hanging="360"/>
      </w:pPr>
      <w:rPr>
        <w:rFonts w:hint="default"/>
      </w:rPr>
    </w:lvl>
    <w:lvl w:ilvl="1" w:tplc="3FB0AE1A" w:tentative="1">
      <w:start w:val="1"/>
      <w:numFmt w:val="lowerLetter"/>
      <w:lvlText w:val="%2."/>
      <w:lvlJc w:val="left"/>
      <w:pPr>
        <w:ind w:left="1080" w:hanging="360"/>
      </w:pPr>
    </w:lvl>
    <w:lvl w:ilvl="2" w:tplc="C6ECE2AA" w:tentative="1">
      <w:start w:val="1"/>
      <w:numFmt w:val="lowerRoman"/>
      <w:lvlText w:val="%3."/>
      <w:lvlJc w:val="right"/>
      <w:pPr>
        <w:ind w:left="1800" w:hanging="180"/>
      </w:pPr>
    </w:lvl>
    <w:lvl w:ilvl="3" w:tplc="1332E638" w:tentative="1">
      <w:start w:val="1"/>
      <w:numFmt w:val="decimal"/>
      <w:lvlText w:val="%4."/>
      <w:lvlJc w:val="left"/>
      <w:pPr>
        <w:ind w:left="2520" w:hanging="360"/>
      </w:pPr>
    </w:lvl>
    <w:lvl w:ilvl="4" w:tplc="A5D0A68E" w:tentative="1">
      <w:start w:val="1"/>
      <w:numFmt w:val="lowerLetter"/>
      <w:lvlText w:val="%5."/>
      <w:lvlJc w:val="left"/>
      <w:pPr>
        <w:ind w:left="3240" w:hanging="360"/>
      </w:pPr>
    </w:lvl>
    <w:lvl w:ilvl="5" w:tplc="0966E980" w:tentative="1">
      <w:start w:val="1"/>
      <w:numFmt w:val="lowerRoman"/>
      <w:lvlText w:val="%6."/>
      <w:lvlJc w:val="right"/>
      <w:pPr>
        <w:ind w:left="3960" w:hanging="180"/>
      </w:pPr>
    </w:lvl>
    <w:lvl w:ilvl="6" w:tplc="90AC9E6A" w:tentative="1">
      <w:start w:val="1"/>
      <w:numFmt w:val="decimal"/>
      <w:lvlText w:val="%7."/>
      <w:lvlJc w:val="left"/>
      <w:pPr>
        <w:ind w:left="4680" w:hanging="360"/>
      </w:pPr>
    </w:lvl>
    <w:lvl w:ilvl="7" w:tplc="EB140EF2" w:tentative="1">
      <w:start w:val="1"/>
      <w:numFmt w:val="lowerLetter"/>
      <w:lvlText w:val="%8."/>
      <w:lvlJc w:val="left"/>
      <w:pPr>
        <w:ind w:left="5400" w:hanging="360"/>
      </w:pPr>
    </w:lvl>
    <w:lvl w:ilvl="8" w:tplc="A410A67C" w:tentative="1">
      <w:start w:val="1"/>
      <w:numFmt w:val="lowerRoman"/>
      <w:lvlText w:val="%9."/>
      <w:lvlJc w:val="right"/>
      <w:pPr>
        <w:ind w:left="6120" w:hanging="180"/>
      </w:pPr>
    </w:lvl>
  </w:abstractNum>
  <w:abstractNum w:abstractNumId="6" w15:restartNumberingAfterBreak="0">
    <w:nsid w:val="7E420521"/>
    <w:multiLevelType w:val="hybridMultilevel"/>
    <w:tmpl w:val="F516E2CA"/>
    <w:lvl w:ilvl="0" w:tplc="5FB40AAC">
      <w:start w:val="1"/>
      <w:numFmt w:val="bullet"/>
      <w:lvlText w:val=""/>
      <w:lvlJc w:val="left"/>
      <w:pPr>
        <w:ind w:left="720" w:hanging="360"/>
      </w:pPr>
      <w:rPr>
        <w:rFonts w:ascii="Wingdings" w:hAnsi="Wingdings" w:hint="default"/>
      </w:rPr>
    </w:lvl>
    <w:lvl w:ilvl="1" w:tplc="E7985E2E">
      <w:start w:val="1"/>
      <w:numFmt w:val="lowerLetter"/>
      <w:lvlText w:val="%2."/>
      <w:lvlJc w:val="left"/>
      <w:pPr>
        <w:ind w:left="1440" w:hanging="360"/>
      </w:pPr>
    </w:lvl>
    <w:lvl w:ilvl="2" w:tplc="69E0354E" w:tentative="1">
      <w:start w:val="1"/>
      <w:numFmt w:val="lowerRoman"/>
      <w:lvlText w:val="%3."/>
      <w:lvlJc w:val="right"/>
      <w:pPr>
        <w:ind w:left="2160" w:hanging="180"/>
      </w:pPr>
    </w:lvl>
    <w:lvl w:ilvl="3" w:tplc="58C61F0C" w:tentative="1">
      <w:start w:val="1"/>
      <w:numFmt w:val="decimal"/>
      <w:lvlText w:val="%4."/>
      <w:lvlJc w:val="left"/>
      <w:pPr>
        <w:ind w:left="2880" w:hanging="360"/>
      </w:pPr>
    </w:lvl>
    <w:lvl w:ilvl="4" w:tplc="7750B506" w:tentative="1">
      <w:start w:val="1"/>
      <w:numFmt w:val="lowerLetter"/>
      <w:lvlText w:val="%5."/>
      <w:lvlJc w:val="left"/>
      <w:pPr>
        <w:ind w:left="3600" w:hanging="360"/>
      </w:pPr>
    </w:lvl>
    <w:lvl w:ilvl="5" w:tplc="4BF45034" w:tentative="1">
      <w:start w:val="1"/>
      <w:numFmt w:val="lowerRoman"/>
      <w:lvlText w:val="%6."/>
      <w:lvlJc w:val="right"/>
      <w:pPr>
        <w:ind w:left="4320" w:hanging="180"/>
      </w:pPr>
    </w:lvl>
    <w:lvl w:ilvl="6" w:tplc="6FF81DD2" w:tentative="1">
      <w:start w:val="1"/>
      <w:numFmt w:val="decimal"/>
      <w:lvlText w:val="%7."/>
      <w:lvlJc w:val="left"/>
      <w:pPr>
        <w:ind w:left="5040" w:hanging="360"/>
      </w:pPr>
    </w:lvl>
    <w:lvl w:ilvl="7" w:tplc="73EEF3A6" w:tentative="1">
      <w:start w:val="1"/>
      <w:numFmt w:val="lowerLetter"/>
      <w:lvlText w:val="%8."/>
      <w:lvlJc w:val="left"/>
      <w:pPr>
        <w:ind w:left="5760" w:hanging="360"/>
      </w:pPr>
    </w:lvl>
    <w:lvl w:ilvl="8" w:tplc="C9D6C612"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31"/>
    <w:rsid w:val="000D2D68"/>
    <w:rsid w:val="00E5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9155"/>
  <w15:docId w15:val="{05057D45-20CC-43EC-9F4B-24E503D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98"/>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5F"/>
    <w:pPr>
      <w:spacing w:after="0" w:line="240" w:lineRule="auto"/>
    </w:pPr>
  </w:style>
  <w:style w:type="character" w:styleId="Hyperlink">
    <w:name w:val="Hyperlink"/>
    <w:basedOn w:val="DefaultParagraphFont"/>
    <w:uiPriority w:val="99"/>
    <w:unhideWhenUsed/>
    <w:rsid w:val="00DF15C7"/>
    <w:rPr>
      <w:color w:val="0563C1" w:themeColor="hyperlink"/>
      <w:u w:val="single"/>
    </w:rPr>
  </w:style>
  <w:style w:type="paragraph" w:styleId="Header">
    <w:name w:val="header"/>
    <w:basedOn w:val="Normal"/>
    <w:link w:val="HeaderChar"/>
    <w:uiPriority w:val="99"/>
    <w:unhideWhenUsed/>
    <w:rsid w:val="0016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3D"/>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16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3D"/>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DC050A"/>
    <w:rPr>
      <w:sz w:val="16"/>
      <w:szCs w:val="16"/>
    </w:rPr>
  </w:style>
  <w:style w:type="paragraph" w:styleId="CommentText">
    <w:name w:val="annotation text"/>
    <w:basedOn w:val="Normal"/>
    <w:link w:val="CommentTextChar"/>
    <w:uiPriority w:val="99"/>
    <w:semiHidden/>
    <w:unhideWhenUsed/>
    <w:rsid w:val="00DC050A"/>
    <w:pPr>
      <w:spacing w:line="240" w:lineRule="auto"/>
    </w:pPr>
    <w:rPr>
      <w:sz w:val="20"/>
      <w:szCs w:val="20"/>
    </w:rPr>
  </w:style>
  <w:style w:type="character" w:customStyle="1" w:styleId="CommentTextChar">
    <w:name w:val="Comment Text Char"/>
    <w:basedOn w:val="DefaultParagraphFont"/>
    <w:link w:val="CommentText"/>
    <w:uiPriority w:val="99"/>
    <w:semiHidden/>
    <w:rsid w:val="00DC050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C050A"/>
    <w:rPr>
      <w:b/>
      <w:bCs/>
    </w:rPr>
  </w:style>
  <w:style w:type="character" w:customStyle="1" w:styleId="CommentSubjectChar">
    <w:name w:val="Comment Subject Char"/>
    <w:basedOn w:val="CommentTextChar"/>
    <w:link w:val="CommentSubject"/>
    <w:uiPriority w:val="99"/>
    <w:semiHidden/>
    <w:rsid w:val="00DC050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C0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0A"/>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live.co.uk/all-about/north-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siness-live.co.uk/all-about/nat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6041-D700-4B40-9AE1-70BDED70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Anne-Marie (LEP)</dc:creator>
  <cp:lastModifiedBy>Milroy, Andy</cp:lastModifiedBy>
  <cp:revision>10</cp:revision>
  <dcterms:created xsi:type="dcterms:W3CDTF">2020-08-03T18:20:00Z</dcterms:created>
  <dcterms:modified xsi:type="dcterms:W3CDTF">2020-09-23T11:35:00Z</dcterms:modified>
</cp:coreProperties>
</file>